
<file path=[Content_Types].xml><?xml version="1.0" encoding="utf-8"?>
<Types xmlns="http://schemas.openxmlformats.org/package/2006/content-types">
  <Default Extension="bin" ContentType="application/vnd.ms-word.attachedToolbars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18E72F3" w14:textId="554C78E3" w:rsidR="00D309CC" w:rsidRPr="002810CC" w:rsidRDefault="00D309CC" w:rsidP="00D46431">
      <w:pPr>
        <w:pStyle w:val="CH"/>
      </w:pPr>
      <w:bookmarkStart w:id="0" w:name="historyclause"/>
      <w:r w:rsidRPr="002810CC">
        <w:t>3GPP RAN</w:t>
      </w:r>
      <w:r w:rsidR="00CF20E3" w:rsidRPr="002810CC">
        <w:t xml:space="preserve"> </w:t>
      </w:r>
      <w:r w:rsidRPr="002810CC">
        <w:t>WG</w:t>
      </w:r>
      <w:r w:rsidR="00337364" w:rsidRPr="002810CC">
        <w:t>4</w:t>
      </w:r>
      <w:r w:rsidRPr="002810CC">
        <w:t xml:space="preserve"> Meeting #</w:t>
      </w:r>
      <w:r w:rsidR="00337364" w:rsidRPr="002810CC">
        <w:t>117</w:t>
      </w:r>
      <w:r w:rsidRPr="002810CC">
        <w:tab/>
      </w:r>
      <w:r w:rsidR="00D46431" w:rsidRPr="002810CC">
        <w:tab/>
      </w:r>
      <w:r w:rsidR="00C42FE1" w:rsidRPr="00C42FE1">
        <w:t>R4-2520559</w:t>
      </w:r>
    </w:p>
    <w:p w14:paraId="50DC9730" w14:textId="3FD84D18" w:rsidR="00D309CC" w:rsidRPr="00FD166F" w:rsidRDefault="00337364" w:rsidP="00D46431">
      <w:pPr>
        <w:pStyle w:val="CH"/>
        <w:tabs>
          <w:tab w:val="clear" w:pos="7920"/>
        </w:tabs>
        <w:rPr>
          <w:b w:val="0"/>
        </w:rPr>
      </w:pPr>
      <w:r w:rsidRPr="002810CC">
        <w:t>Dallas</w:t>
      </w:r>
      <w:r w:rsidR="00D309CC" w:rsidRPr="002810CC">
        <w:t xml:space="preserve">, </w:t>
      </w:r>
      <w:r w:rsidRPr="002810CC">
        <w:t>USA</w:t>
      </w:r>
      <w:r w:rsidR="00D309CC" w:rsidRPr="002810CC">
        <w:t xml:space="preserve">, </w:t>
      </w:r>
      <w:r w:rsidR="002810CC" w:rsidRPr="002810CC">
        <w:t>17th – 21st November 2025</w:t>
      </w:r>
      <w:r w:rsidR="00D46431">
        <w:tab/>
      </w:r>
    </w:p>
    <w:p w14:paraId="39A0EE25" w14:textId="77777777" w:rsidR="00D309CC" w:rsidRDefault="00D309CC" w:rsidP="00D309CC">
      <w:pPr>
        <w:tabs>
          <w:tab w:val="left" w:pos="2160"/>
        </w:tabs>
        <w:rPr>
          <w:rFonts w:ascii="Arial" w:hAnsi="Arial" w:cs="Arial"/>
          <w:b/>
        </w:rPr>
      </w:pPr>
    </w:p>
    <w:p w14:paraId="6DDCE159" w14:textId="1490914E" w:rsidR="00D309CC" w:rsidRPr="0008103A" w:rsidRDefault="00D309CC" w:rsidP="00D309CC">
      <w:pPr>
        <w:pStyle w:val="CH"/>
        <w:rPr>
          <w:b w:val="0"/>
        </w:rPr>
      </w:pPr>
      <w:r w:rsidRPr="0008103A">
        <w:t>Agenda item:</w:t>
      </w:r>
      <w:r>
        <w:tab/>
      </w:r>
      <w:r w:rsidR="00F86D62">
        <w:t>10.7</w:t>
      </w:r>
    </w:p>
    <w:p w14:paraId="4DBE005A" w14:textId="7C55B593" w:rsidR="00D309CC" w:rsidRPr="00DD5217" w:rsidRDefault="00D309CC" w:rsidP="00D309CC">
      <w:pPr>
        <w:pStyle w:val="CH"/>
        <w:rPr>
          <w:b w:val="0"/>
        </w:rPr>
      </w:pPr>
      <w:r w:rsidRPr="00DD5217">
        <w:t>Source:</w:t>
      </w:r>
      <w:r w:rsidRPr="00DD5217">
        <w:tab/>
        <w:t>Apple</w:t>
      </w:r>
    </w:p>
    <w:p w14:paraId="0D2061A1" w14:textId="676D2C38" w:rsidR="00D309CC" w:rsidRPr="00DD5217" w:rsidRDefault="00D309CC" w:rsidP="002810CC">
      <w:pPr>
        <w:pStyle w:val="CH"/>
        <w:ind w:left="2260" w:hanging="2260"/>
      </w:pPr>
      <w:r w:rsidRPr="00DD5217">
        <w:t>Title:</w:t>
      </w:r>
      <w:r w:rsidRPr="00DD5217">
        <w:tab/>
      </w:r>
      <w:r w:rsidR="00F71596" w:rsidRPr="00F71596">
        <w:t xml:space="preserve">Power back-off analysis for ETSI regulations in </w:t>
      </w:r>
      <w:r w:rsidR="00C42FE1">
        <w:t>S</w:t>
      </w:r>
      <w:r w:rsidR="00F71596" w:rsidRPr="00F71596">
        <w:t>-band</w:t>
      </w:r>
    </w:p>
    <w:p w14:paraId="052B1E0C" w14:textId="578F7DA7" w:rsidR="00104BC6" w:rsidRPr="00DD5217" w:rsidRDefault="00104BC6" w:rsidP="00D309CC">
      <w:pPr>
        <w:pStyle w:val="CH"/>
      </w:pPr>
      <w:r w:rsidRPr="00DD5217">
        <w:t>WI/SI:</w:t>
      </w:r>
      <w:r w:rsidRPr="00DD5217">
        <w:tab/>
      </w:r>
      <w:proofErr w:type="spellStart"/>
      <w:r w:rsidR="002810CC" w:rsidRPr="00DD5217">
        <w:t>NR_NTN_solutions</w:t>
      </w:r>
      <w:proofErr w:type="spellEnd"/>
      <w:r w:rsidR="002810CC" w:rsidRPr="00DD5217">
        <w:t>-Core</w:t>
      </w:r>
    </w:p>
    <w:p w14:paraId="6C6D1281" w14:textId="14AC144C" w:rsidR="00104BC6" w:rsidRPr="00DD5217" w:rsidRDefault="00104BC6" w:rsidP="00D309CC">
      <w:pPr>
        <w:pStyle w:val="CH"/>
        <w:rPr>
          <w:b w:val="0"/>
        </w:rPr>
      </w:pPr>
      <w:r w:rsidRPr="00DD5217">
        <w:t>Release:</w:t>
      </w:r>
      <w:r w:rsidRPr="00DD5217">
        <w:tab/>
        <w:t>Rel-</w:t>
      </w:r>
      <w:r w:rsidR="002810CC" w:rsidRPr="00DD5217">
        <w:t>17</w:t>
      </w:r>
    </w:p>
    <w:p w14:paraId="2E4E044D" w14:textId="77777777" w:rsidR="00D309CC" w:rsidRDefault="00D309CC" w:rsidP="00D309CC">
      <w:pPr>
        <w:pStyle w:val="CH"/>
      </w:pPr>
      <w:r w:rsidRPr="00DD5217">
        <w:t>Document for:</w:t>
      </w:r>
      <w:r w:rsidRPr="00DD5217">
        <w:tab/>
        <w:t>Discussion</w:t>
      </w:r>
    </w:p>
    <w:p w14:paraId="0207DB43" w14:textId="77777777" w:rsidR="00D46431" w:rsidRPr="0008103A" w:rsidRDefault="00D46431" w:rsidP="00D309CC">
      <w:pPr>
        <w:pStyle w:val="CH"/>
        <w:rPr>
          <w:b w:val="0"/>
        </w:rPr>
      </w:pPr>
    </w:p>
    <w:p w14:paraId="0273524A" w14:textId="77777777" w:rsidR="008E7986" w:rsidRPr="004D3578" w:rsidRDefault="008E7986" w:rsidP="008E7986">
      <w:pPr>
        <w:pStyle w:val="Heading1"/>
      </w:pPr>
      <w:r>
        <w:t>1</w:t>
      </w:r>
      <w:r>
        <w:tab/>
      </w:r>
      <w:r w:rsidRPr="004D3578">
        <w:t>Introduction</w:t>
      </w:r>
      <w:r>
        <w:t xml:space="preserve"> </w:t>
      </w:r>
    </w:p>
    <w:p w14:paraId="3FEBE524" w14:textId="7ED75C35" w:rsidR="00F71596" w:rsidRDefault="00A917CA" w:rsidP="00A25B38">
      <w:pPr>
        <w:jc w:val="both"/>
      </w:pPr>
      <w:r>
        <w:t>RAN#86 meeting approved the Rel-17 WI that aimed to enable the 5G/NR radio access technology for non-terrestrial satellite deployments</w:t>
      </w:r>
      <w:r w:rsidR="00CF4836">
        <w:t xml:space="preserve"> </w:t>
      </w:r>
      <w:r w:rsidR="004F5CB8">
        <w:rPr>
          <w:highlight w:val="yellow"/>
        </w:rPr>
        <w:fldChar w:fldCharType="begin"/>
      </w:r>
      <w:r w:rsidR="004F5CB8">
        <w:instrText xml:space="preserve"> REF _Ref13820109 \r \h </w:instrText>
      </w:r>
      <w:r w:rsidR="004F5CB8">
        <w:rPr>
          <w:highlight w:val="yellow"/>
        </w:rPr>
      </w:r>
      <w:r w:rsidR="004F5CB8">
        <w:rPr>
          <w:highlight w:val="yellow"/>
        </w:rPr>
        <w:fldChar w:fldCharType="separate"/>
      </w:r>
      <w:r w:rsidR="004F5CB8">
        <w:t>[1]</w:t>
      </w:r>
      <w:r w:rsidR="004F5CB8">
        <w:rPr>
          <w:highlight w:val="yellow"/>
        </w:rPr>
        <w:fldChar w:fldCharType="end"/>
      </w:r>
      <w:r w:rsidR="00CA4BCC">
        <w:t>, whereupon</w:t>
      </w:r>
      <w:r>
        <w:t xml:space="preserve"> </w:t>
      </w:r>
      <w:r w:rsidR="00CA4BCC">
        <w:t>one</w:t>
      </w:r>
      <w:r w:rsidRPr="00C110E5">
        <w:t xml:space="preserve"> of the WI objectives was to define and introduce the corresponding bands into the 3GPP specifications. The outcome of </w:t>
      </w:r>
      <w:r w:rsidR="00CF4836">
        <w:t>the Rel-17</w:t>
      </w:r>
      <w:r w:rsidRPr="00C110E5">
        <w:t xml:space="preserve"> discussions was two NTN bands – L-band and S-band – </w:t>
      </w:r>
      <w:r>
        <w:t>which</w:t>
      </w:r>
      <w:r w:rsidRPr="00C110E5">
        <w:t xml:space="preserve"> were added as bands n255 and n256, respectively</w:t>
      </w:r>
      <w:r>
        <w:t>, to the Rel-17 core specifications</w:t>
      </w:r>
      <w:r w:rsidRPr="00C110E5">
        <w:t xml:space="preserve">. </w:t>
      </w:r>
      <w:r w:rsidR="00CF4836">
        <w:t xml:space="preserve">While most of the satellite MSS bands have global ITU allocations and </w:t>
      </w:r>
      <w:r w:rsidR="00CA4BCC">
        <w:t xml:space="preserve">can </w:t>
      </w:r>
      <w:r w:rsidR="00CF4836">
        <w:t>be enabled in different regions, there exist regional and country specific requirements</w:t>
      </w:r>
      <w:r w:rsidR="00220194">
        <w:t xml:space="preserve">. As an example, US FCC defines additional out-of-band emission masks for all MSS bands that can be operated in US, and so </w:t>
      </w:r>
      <w:r w:rsidR="00CF4836">
        <w:t xml:space="preserve">ETSI </w:t>
      </w:r>
      <w:r w:rsidR="00220194">
        <w:t>does for the satellite MSS bands that can be activated in the ETSI regulatory domain</w:t>
      </w:r>
      <w:r w:rsidR="00CF4836">
        <w:t xml:space="preserve">. 3GPP did not capture all ETSI regulations for all applicable MSS bands, which makes it impossible to ensure compliant UE behaviour in countries following the ETSI standards. </w:t>
      </w:r>
    </w:p>
    <w:p w14:paraId="06E92CC7" w14:textId="53B40344" w:rsidR="008E7986" w:rsidRDefault="00CF4836" w:rsidP="00A25B38">
      <w:pPr>
        <w:jc w:val="both"/>
      </w:pPr>
      <w:r>
        <w:t>Thus, in</w:t>
      </w:r>
      <w:r w:rsidRPr="00CF4836">
        <w:t xml:space="preserve"> this discussion paper we present a</w:t>
      </w:r>
      <w:r>
        <w:t xml:space="preserve">n </w:t>
      </w:r>
      <w:r w:rsidRPr="00CF4836">
        <w:t xml:space="preserve">overview of the existing ETSI requirements </w:t>
      </w:r>
      <w:r>
        <w:t xml:space="preserve">for the MSS </w:t>
      </w:r>
      <w:r w:rsidR="00902B5D">
        <w:t>S</w:t>
      </w:r>
      <w:r w:rsidR="00F71596">
        <w:t>-</w:t>
      </w:r>
      <w:r>
        <w:t>band</w:t>
      </w:r>
      <w:r w:rsidR="00902B5D">
        <w:t>.</w:t>
      </w:r>
      <w:r w:rsidR="00F71596">
        <w:t xml:space="preserve"> </w:t>
      </w:r>
    </w:p>
    <w:p w14:paraId="3A67921B" w14:textId="59A31B52" w:rsidR="008E7986" w:rsidRDefault="008E7986" w:rsidP="008E7986">
      <w:pPr>
        <w:pStyle w:val="Heading1"/>
      </w:pPr>
      <w:r>
        <w:t>2</w:t>
      </w:r>
      <w:r>
        <w:tab/>
      </w:r>
      <w:r w:rsidR="00C814CA">
        <w:t>ETSI standards</w:t>
      </w:r>
      <w:r>
        <w:t xml:space="preserve"> </w:t>
      </w:r>
      <w:r w:rsidR="00C65948">
        <w:t xml:space="preserve">for </w:t>
      </w:r>
      <w:r w:rsidR="003333B3">
        <w:t xml:space="preserve">the </w:t>
      </w:r>
      <w:r w:rsidR="00C65948">
        <w:t xml:space="preserve">MSS </w:t>
      </w:r>
      <w:r w:rsidR="0036790D">
        <w:t>S</w:t>
      </w:r>
      <w:r w:rsidR="00C65948">
        <w:t>-band</w:t>
      </w:r>
    </w:p>
    <w:p w14:paraId="1764011C" w14:textId="29FA8A4D" w:rsidR="00B2709F" w:rsidRDefault="00B2709F" w:rsidP="00B2709F">
      <w:r>
        <w:t xml:space="preserve">The situation for the ETSI requirements and the S-band is a bit different compared to other MSS standards </w:t>
      </w:r>
      <w:r w:rsidR="001F7E80">
        <w:t>because it</w:t>
      </w:r>
      <w:r>
        <w:t xml:space="preserve"> is regulated by three different ETSI standards depending on the type of the system and its parameters, such as wide- narrow-band channel. </w:t>
      </w:r>
      <w:r w:rsidR="001F7E80">
        <w:t>Table 2-1 below makes a small summary</w:t>
      </w:r>
      <w:r w:rsidR="002B0AEB">
        <w:t>, from one can see that EN 301442 regulates non-GEO systems irrespective of the channel size, whereas EN 302574-2/3 are for the GEO systems with further differentiation between narrow and wide-band systems.</w:t>
      </w:r>
    </w:p>
    <w:p w14:paraId="728B5261" w14:textId="4256F16E" w:rsidR="00B2709F" w:rsidRDefault="00B2709F" w:rsidP="00B2709F">
      <w:pPr>
        <w:pStyle w:val="TH"/>
      </w:pPr>
      <w:r>
        <w:t>Table 2-1: Summary of ETSI S-band standards.</w:t>
      </w:r>
    </w:p>
    <w:tbl>
      <w:tblPr>
        <w:tblStyle w:val="TableGrid"/>
        <w:tblW w:w="0" w:type="auto"/>
        <w:tblInd w:w="1129" w:type="dxa"/>
        <w:tblLook w:val="04A0" w:firstRow="1" w:lastRow="0" w:firstColumn="1" w:lastColumn="0" w:noHBand="0" w:noVBand="1"/>
      </w:tblPr>
      <w:tblGrid>
        <w:gridCol w:w="2081"/>
        <w:gridCol w:w="2030"/>
        <w:gridCol w:w="2268"/>
      </w:tblGrid>
      <w:tr w:rsidR="00B2709F" w14:paraId="53872DB6" w14:textId="77777777" w:rsidTr="00D1215C">
        <w:tc>
          <w:tcPr>
            <w:tcW w:w="2081" w:type="dxa"/>
          </w:tcPr>
          <w:p w14:paraId="65E450D1" w14:textId="77777777" w:rsidR="00B2709F" w:rsidRDefault="00B2709F" w:rsidP="00D1215C">
            <w:pPr>
              <w:pStyle w:val="TAH"/>
            </w:pPr>
            <w:r>
              <w:t>System bandwidth</w:t>
            </w:r>
          </w:p>
        </w:tc>
        <w:tc>
          <w:tcPr>
            <w:tcW w:w="2030" w:type="dxa"/>
          </w:tcPr>
          <w:p w14:paraId="02FD4C41" w14:textId="77777777" w:rsidR="00B2709F" w:rsidRDefault="00B2709F" w:rsidP="00D1215C">
            <w:pPr>
              <w:pStyle w:val="TAH"/>
            </w:pPr>
            <w:r>
              <w:t>non-GEO system</w:t>
            </w:r>
          </w:p>
        </w:tc>
        <w:tc>
          <w:tcPr>
            <w:tcW w:w="2268" w:type="dxa"/>
          </w:tcPr>
          <w:p w14:paraId="4A63036C" w14:textId="77777777" w:rsidR="00B2709F" w:rsidRDefault="00B2709F" w:rsidP="00D1215C">
            <w:pPr>
              <w:pStyle w:val="TAH"/>
            </w:pPr>
            <w:r>
              <w:t>GEO system</w:t>
            </w:r>
          </w:p>
        </w:tc>
      </w:tr>
      <w:tr w:rsidR="00B2709F" w14:paraId="2E4A6E9E" w14:textId="77777777" w:rsidTr="00D1215C">
        <w:tc>
          <w:tcPr>
            <w:tcW w:w="2081" w:type="dxa"/>
          </w:tcPr>
          <w:p w14:paraId="03F18A0B" w14:textId="77777777" w:rsidR="00B2709F" w:rsidRDefault="00B2709F" w:rsidP="00D1215C">
            <w:pPr>
              <w:pStyle w:val="TAC"/>
            </w:pPr>
            <w:proofErr w:type="gramStart"/>
            <w:r>
              <w:t>wide-band</w:t>
            </w:r>
            <w:proofErr w:type="gramEnd"/>
            <w:r>
              <w:t xml:space="preserve"> (&gt;1MHz)</w:t>
            </w:r>
          </w:p>
        </w:tc>
        <w:tc>
          <w:tcPr>
            <w:tcW w:w="2030" w:type="dxa"/>
            <w:vMerge w:val="restart"/>
          </w:tcPr>
          <w:p w14:paraId="64498330" w14:textId="77777777" w:rsidR="00B2709F" w:rsidRDefault="00B2709F" w:rsidP="00D1215C">
            <w:pPr>
              <w:pStyle w:val="TAC"/>
            </w:pPr>
            <w:r w:rsidRPr="0027645E">
              <w:t>EN 301 442</w:t>
            </w:r>
            <w:r>
              <w:t xml:space="preserve"> </w:t>
            </w:r>
          </w:p>
        </w:tc>
        <w:tc>
          <w:tcPr>
            <w:tcW w:w="2268" w:type="dxa"/>
          </w:tcPr>
          <w:p w14:paraId="733AB54E" w14:textId="77777777" w:rsidR="00B2709F" w:rsidRDefault="00B2709F" w:rsidP="00D1215C">
            <w:pPr>
              <w:pStyle w:val="TAC"/>
            </w:pPr>
            <w:r w:rsidRPr="0027645E">
              <w:t>EN 302 574-2</w:t>
            </w:r>
          </w:p>
        </w:tc>
      </w:tr>
      <w:tr w:rsidR="00B2709F" w14:paraId="4288B6F9" w14:textId="77777777" w:rsidTr="00D1215C">
        <w:tc>
          <w:tcPr>
            <w:tcW w:w="2081" w:type="dxa"/>
          </w:tcPr>
          <w:p w14:paraId="788271D8" w14:textId="77777777" w:rsidR="00B2709F" w:rsidRDefault="00B2709F" w:rsidP="00D1215C">
            <w:pPr>
              <w:pStyle w:val="TAC"/>
            </w:pPr>
            <w:proofErr w:type="gramStart"/>
            <w:r>
              <w:t>narrow-band</w:t>
            </w:r>
            <w:proofErr w:type="gramEnd"/>
            <w:r>
              <w:t xml:space="preserve"> (&lt;1MHz)</w:t>
            </w:r>
          </w:p>
        </w:tc>
        <w:tc>
          <w:tcPr>
            <w:tcW w:w="2030" w:type="dxa"/>
            <w:vMerge/>
          </w:tcPr>
          <w:p w14:paraId="3F56727D" w14:textId="77777777" w:rsidR="00B2709F" w:rsidRDefault="00B2709F" w:rsidP="00D1215C">
            <w:pPr>
              <w:pStyle w:val="TAC"/>
            </w:pPr>
          </w:p>
        </w:tc>
        <w:tc>
          <w:tcPr>
            <w:tcW w:w="2268" w:type="dxa"/>
          </w:tcPr>
          <w:p w14:paraId="72730B63" w14:textId="77777777" w:rsidR="00B2709F" w:rsidRDefault="00B2709F" w:rsidP="00D1215C">
            <w:pPr>
              <w:pStyle w:val="TAC"/>
            </w:pPr>
            <w:r w:rsidRPr="0027645E">
              <w:t>EN 302 574-3</w:t>
            </w:r>
          </w:p>
        </w:tc>
      </w:tr>
    </w:tbl>
    <w:p w14:paraId="11E0386A" w14:textId="77777777" w:rsidR="00B2709F" w:rsidRDefault="00B2709F" w:rsidP="00B2709F"/>
    <w:p w14:paraId="5A9DEFDC" w14:textId="2AF41D0C" w:rsidR="00AB337F" w:rsidRDefault="00AB337F" w:rsidP="00AB337F">
      <w:pPr>
        <w:jc w:val="both"/>
      </w:pPr>
    </w:p>
    <w:p w14:paraId="1513FA36" w14:textId="0752EFFA" w:rsidR="00D325B6" w:rsidRDefault="00D325B6" w:rsidP="00D325B6">
      <w:pPr>
        <w:pStyle w:val="Heading2"/>
      </w:pPr>
      <w:r>
        <w:t>2.1</w:t>
      </w:r>
      <w:r>
        <w:tab/>
        <w:t xml:space="preserve">ETSI </w:t>
      </w:r>
      <w:r w:rsidR="00B2709F" w:rsidRPr="00B2709F">
        <w:t>EN 301 442</w:t>
      </w:r>
    </w:p>
    <w:p w14:paraId="6387B994" w14:textId="72F7A219" w:rsidR="00552802" w:rsidRDefault="0037216D" w:rsidP="00AB337F">
      <w:pPr>
        <w:jc w:val="both"/>
      </w:pPr>
      <w:r>
        <w:t xml:space="preserve">EN 301442 in-band mask is </w:t>
      </w:r>
      <w:proofErr w:type="gramStart"/>
      <w:r>
        <w:t>similar to</w:t>
      </w:r>
      <w:proofErr w:type="gramEnd"/>
      <w:r>
        <w:t xml:space="preserve"> the ETSI L-band </w:t>
      </w:r>
      <w:r w:rsidR="009F0BD9">
        <w:t>mask but</w:t>
      </w:r>
      <w:r>
        <w:t xml:space="preserve"> </w:t>
      </w:r>
      <w:r w:rsidR="009F0BD9">
        <w:t>still</w:t>
      </w:r>
      <w:r>
        <w:t xml:space="preserve"> has different emission levels</w:t>
      </w:r>
      <w:r w:rsidR="00552802">
        <w:t>.</w:t>
      </w:r>
      <w:r>
        <w:t xml:space="preserve"> </w:t>
      </w:r>
      <w:r w:rsidR="00552802">
        <w:t xml:space="preserve"> </w:t>
      </w:r>
      <w:r w:rsidR="0037657F">
        <w:t xml:space="preserve">Nevertheless, as one can see from </w:t>
      </w:r>
      <w:r w:rsidR="009F0BD9">
        <w:t xml:space="preserve">Figure 2.1-1 </w:t>
      </w:r>
      <w:r w:rsidR="0037657F">
        <w:t>showing</w:t>
      </w:r>
      <w:r w:rsidR="009F0BD9">
        <w:t xml:space="preserve"> a superposition of the ETSI 301442 mask and the 3GPP NB-IOT mask, </w:t>
      </w:r>
      <w:r w:rsidR="0037657F">
        <w:t xml:space="preserve">the ETSI mask should not cause any power limitations for the NB-IOT technology. </w:t>
      </w:r>
    </w:p>
    <w:p w14:paraId="0E1F9168" w14:textId="77777777" w:rsidR="00766939" w:rsidRDefault="00766939" w:rsidP="00AB337F">
      <w:pPr>
        <w:jc w:val="both"/>
      </w:pPr>
    </w:p>
    <w:p w14:paraId="3C08F3A4" w14:textId="77777777" w:rsidR="00766939" w:rsidRDefault="00766939" w:rsidP="00AB337F">
      <w:pPr>
        <w:jc w:val="both"/>
      </w:pPr>
    </w:p>
    <w:p w14:paraId="10378B38" w14:textId="77777777" w:rsidR="00766939" w:rsidRDefault="00766939" w:rsidP="00AB337F">
      <w:pPr>
        <w:jc w:val="both"/>
      </w:pPr>
    </w:p>
    <w:p w14:paraId="0871A5D3" w14:textId="77777777" w:rsidR="00766939" w:rsidRDefault="00766939" w:rsidP="00AB337F">
      <w:pPr>
        <w:jc w:val="both"/>
      </w:pPr>
    </w:p>
    <w:p w14:paraId="2F40F33C" w14:textId="77777777" w:rsidR="00766939" w:rsidRDefault="00766939" w:rsidP="00AB337F">
      <w:pPr>
        <w:jc w:val="both"/>
      </w:pPr>
    </w:p>
    <w:p w14:paraId="06EECCB9" w14:textId="757986CC" w:rsidR="00766939" w:rsidRDefault="00766939" w:rsidP="00CA1761">
      <w:pPr>
        <w:jc w:val="center"/>
      </w:pPr>
      <w:r>
        <w:rPr>
          <w:noProof/>
        </w:rPr>
        <w:lastRenderedPageBreak/>
        <w:drawing>
          <wp:inline distT="0" distB="0" distL="0" distR="0" wp14:anchorId="52352676" wp14:editId="45F8B881">
            <wp:extent cx="2193648" cy="8436334"/>
            <wp:effectExtent l="0" t="0" r="3810" b="0"/>
            <wp:docPr id="842206013" name="Graphic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2206013" name="Graphic 842206013"/>
                    <pic:cNvPicPr/>
                  </pic:nvPicPr>
                  <pic:blipFill>
                    <a:blip r:embed="rId9">
                      <a:extLst>
                        <a:ext uri="{96DAC541-7B7A-43D3-8B79-37D633B846F1}">
                          <asvg:svgBlip xmlns:asvg="http://schemas.microsoft.com/office/drawing/2016/SVG/main" r:embed="rId1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07568" cy="84898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65AE54" w14:textId="4180EC1B" w:rsidR="00766939" w:rsidRDefault="00CA1761" w:rsidP="00CA1761">
      <w:pPr>
        <w:pStyle w:val="TF"/>
      </w:pPr>
      <w:r>
        <w:t xml:space="preserve">Figure 2.1-1: </w:t>
      </w:r>
      <w:r w:rsidRPr="00CA1761">
        <w:t>Superposition of the ETSI in-band mask (pink) and 3GPP NB-IOT mask (blue).</w:t>
      </w:r>
    </w:p>
    <w:p w14:paraId="7FF89FE0" w14:textId="018EBB71" w:rsidR="00E72324" w:rsidRDefault="00E72324" w:rsidP="00E72324"/>
    <w:p w14:paraId="62E2E073" w14:textId="18104EFF" w:rsidR="008E7986" w:rsidRDefault="001F7594" w:rsidP="001F7594">
      <w:r>
        <w:lastRenderedPageBreak/>
        <w:t xml:space="preserve">As for the </w:t>
      </w:r>
      <w:r w:rsidR="002858D6">
        <w:t>3GPP NR/5G based technology, Figure 2.1-2 below shows the NR 5MHz mask</w:t>
      </w:r>
      <w:r w:rsidR="002C77D4">
        <w:t xml:space="preserve"> combined with the ETSI mask. While </w:t>
      </w:r>
      <w:r w:rsidR="006E0320">
        <w:t xml:space="preserve">the ETSI mask should not be a limiting factor for the 5G/NR NTN, there are certain frequency ranges where </w:t>
      </w:r>
      <w:r w:rsidR="000B6670">
        <w:t>the ETSI mask has more stringent limits</w:t>
      </w:r>
      <w:r w:rsidR="00C43795">
        <w:t>, which requires further power back-off analysis.</w:t>
      </w:r>
      <w:r w:rsidR="002C77D4">
        <w:t xml:space="preserve"> </w:t>
      </w:r>
    </w:p>
    <w:p w14:paraId="763D005D" w14:textId="4FE65C01" w:rsidR="002C77D4" w:rsidRDefault="0073290D" w:rsidP="001F7594">
      <w:r>
        <w:rPr>
          <w:noProof/>
        </w:rPr>
        <w:drawing>
          <wp:inline distT="0" distB="0" distL="0" distR="0" wp14:anchorId="53645FEA" wp14:editId="6DA4975C">
            <wp:extent cx="6122035" cy="5775325"/>
            <wp:effectExtent l="0" t="0" r="0" b="0"/>
            <wp:docPr id="1176927207" name="Graphic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6927207" name="Graphic 1176927207"/>
                    <pic:cNvPicPr/>
                  </pic:nvPicPr>
                  <pic:blipFill>
                    <a:blip r:embed="rId11">
                      <a:extLst>
                        <a:ext uri="{96DAC541-7B7A-43D3-8B79-37D633B846F1}">
                          <asvg:svgBlip xmlns:asvg="http://schemas.microsoft.com/office/drawing/2016/SVG/main" r:embed="rId12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2035" cy="5775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479FDD" w14:textId="3F63BA89" w:rsidR="0073290D" w:rsidRDefault="0073290D" w:rsidP="0073290D">
      <w:pPr>
        <w:pStyle w:val="TF"/>
      </w:pPr>
      <w:r>
        <w:t xml:space="preserve">Figure 2.1-2: </w:t>
      </w:r>
      <w:r w:rsidRPr="00CA1761">
        <w:t xml:space="preserve">Superposition of the ETSI in-band mask (pink) and 3GPP </w:t>
      </w:r>
      <w:r w:rsidR="00B14894">
        <w:t>NR 5MHz</w:t>
      </w:r>
      <w:r w:rsidRPr="00CA1761">
        <w:t xml:space="preserve"> mask (blue).</w:t>
      </w:r>
    </w:p>
    <w:p w14:paraId="46EB6ADA" w14:textId="77777777" w:rsidR="0073290D" w:rsidRDefault="0073290D" w:rsidP="001F7594"/>
    <w:p w14:paraId="3ED8916C" w14:textId="4CF6EAAA" w:rsidR="00D57207" w:rsidRDefault="00D57207" w:rsidP="001F7594">
      <w:r>
        <w:t xml:space="preserve">As for the out-of-band unwanted emission requirements, EN 301442 defines same mask for the lower and upper edges, </w:t>
      </w:r>
      <w:r w:rsidR="00993128">
        <w:t xml:space="preserve">which comprises logically two parts: the 2MHz offset </w:t>
      </w:r>
      <w:r w:rsidR="00864963">
        <w:t xml:space="preserve">from the band edge is the same in-band mask as presented earlier, and the remaining offsets are </w:t>
      </w:r>
      <w:r w:rsidR="00FF6EE5">
        <w:t xml:space="preserve">emission levels </w:t>
      </w:r>
      <w:proofErr w:type="gramStart"/>
      <w:r w:rsidR="00FF6EE5">
        <w:t>similar to</w:t>
      </w:r>
      <w:proofErr w:type="gramEnd"/>
      <w:r w:rsidR="00FF6EE5">
        <w:t xml:space="preserve"> other ETSI standards for the MSS bands. For the sake of clarity Figure 2.1-3 below shows resulting out-of-band mask </w:t>
      </w:r>
      <w:r w:rsidR="005F17F4">
        <w:t xml:space="preserve">for the lower edge, i.e. below 1980MHz, combined with the 3GPP NR 5MHz mask. </w:t>
      </w:r>
      <w:r w:rsidR="00AF5139">
        <w:t xml:space="preserve">As can be seen from the figure, we are not anticipating any extra power back-off for the NB-IOT technology, but NR NTN may require extra power back-off if the channel is right at the band edge. </w:t>
      </w:r>
    </w:p>
    <w:p w14:paraId="24AA0F2E" w14:textId="61919FA7" w:rsidR="003F0223" w:rsidRDefault="003F0223" w:rsidP="001F7594">
      <w:r>
        <w:rPr>
          <w:noProof/>
        </w:rPr>
        <w:lastRenderedPageBreak/>
        <w:drawing>
          <wp:inline distT="0" distB="0" distL="0" distR="0" wp14:anchorId="2AA6A17C" wp14:editId="5E4587AA">
            <wp:extent cx="6122035" cy="5775325"/>
            <wp:effectExtent l="0" t="0" r="0" b="0"/>
            <wp:docPr id="747344654" name="Graphic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7344654" name="Graphic 747344654"/>
                    <pic:cNvPicPr/>
                  </pic:nvPicPr>
                  <pic:blipFill>
                    <a:blip r:embed="rId13">
                      <a:extLst>
                        <a:ext uri="{96DAC541-7B7A-43D3-8B79-37D633B846F1}">
                          <asvg:svgBlip xmlns:asvg="http://schemas.microsoft.com/office/drawing/2016/SVG/main" r:embed="rId14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2035" cy="5775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898166" w14:textId="7E2AA8B8" w:rsidR="00AF29AB" w:rsidRDefault="00AF29AB" w:rsidP="00AF29AB">
      <w:pPr>
        <w:pStyle w:val="TF"/>
      </w:pPr>
      <w:r>
        <w:t xml:space="preserve">Figure 2.1-3: </w:t>
      </w:r>
      <w:r w:rsidRPr="00CA1761">
        <w:t xml:space="preserve">Superposition of the ETSI </w:t>
      </w:r>
      <w:r>
        <w:t>out-of-band</w:t>
      </w:r>
      <w:r w:rsidRPr="00CA1761">
        <w:t xml:space="preserve"> mask (pink) and 3GPP </w:t>
      </w:r>
      <w:r>
        <w:t>NR 5MHz</w:t>
      </w:r>
      <w:r w:rsidRPr="00CA1761">
        <w:t xml:space="preserve"> mask (blue).</w:t>
      </w:r>
    </w:p>
    <w:p w14:paraId="670AB453" w14:textId="1FF9E20D" w:rsidR="001F7594" w:rsidRDefault="001F7594" w:rsidP="001F7594"/>
    <w:p w14:paraId="56417AB5" w14:textId="3CC97C7C" w:rsidR="000D62AA" w:rsidRPr="005A189E" w:rsidRDefault="000D62AA" w:rsidP="005A189E">
      <w:pPr>
        <w:pStyle w:val="Observation"/>
      </w:pPr>
      <w:r w:rsidRPr="005A189E">
        <w:t>Observation 1a:</w:t>
      </w:r>
      <w:r w:rsidR="00641EDC" w:rsidRPr="005A189E">
        <w:tab/>
        <w:t xml:space="preserve">For NB-IOT NTN, </w:t>
      </w:r>
      <w:r w:rsidRPr="005A189E">
        <w:t>ETSI 301442</w:t>
      </w:r>
      <w:r w:rsidR="00641EDC" w:rsidRPr="005A189E">
        <w:t xml:space="preserve"> in-band or out-of-band emission requirements should not cause any extra power back-off.</w:t>
      </w:r>
    </w:p>
    <w:p w14:paraId="5435A829" w14:textId="6DB9E3C9" w:rsidR="00641EDC" w:rsidRDefault="00641EDC" w:rsidP="005A189E">
      <w:pPr>
        <w:pStyle w:val="Observation"/>
      </w:pPr>
      <w:r w:rsidRPr="005A189E">
        <w:t>Observation 1b:</w:t>
      </w:r>
      <w:r w:rsidRPr="005A189E">
        <w:tab/>
        <w:t>For NR NTN, further power back-off analysis is need</w:t>
      </w:r>
      <w:r w:rsidR="00B244FD">
        <w:t>ed</w:t>
      </w:r>
      <w:r w:rsidRPr="005A189E">
        <w:t xml:space="preserve"> because ETSI mask has more stringent requirements</w:t>
      </w:r>
      <w:r w:rsidR="005A189E" w:rsidRPr="005A189E">
        <w:t xml:space="preserve"> for certain frequency ranges and offsets.</w:t>
      </w:r>
      <w:r>
        <w:tab/>
      </w:r>
    </w:p>
    <w:p w14:paraId="3E03EC35" w14:textId="77777777" w:rsidR="00AF29AB" w:rsidRDefault="00AF29AB" w:rsidP="001F7594"/>
    <w:p w14:paraId="61095874" w14:textId="13594391" w:rsidR="00152A76" w:rsidRDefault="00152A76" w:rsidP="00152A76">
      <w:pPr>
        <w:pStyle w:val="Heading2"/>
      </w:pPr>
      <w:r>
        <w:t>2.</w:t>
      </w:r>
      <w:r>
        <w:t>2</w:t>
      </w:r>
      <w:r>
        <w:tab/>
        <w:t xml:space="preserve">ETSI </w:t>
      </w:r>
      <w:r w:rsidRPr="00B2709F">
        <w:t>EN</w:t>
      </w:r>
      <w:r>
        <w:t xml:space="preserve"> </w:t>
      </w:r>
      <w:r>
        <w:t>302 574-2</w:t>
      </w:r>
      <w:r>
        <w:t xml:space="preserve"> and </w:t>
      </w:r>
      <w:r>
        <w:t>EN 302 574-3</w:t>
      </w:r>
    </w:p>
    <w:p w14:paraId="27137F3D" w14:textId="699F108D" w:rsidR="00152A76" w:rsidRDefault="00152A76" w:rsidP="00152A76">
      <w:r>
        <w:t xml:space="preserve">As mentioned earlier </w:t>
      </w:r>
      <w:r w:rsidR="00544CF4">
        <w:t xml:space="preserve">the S-band is regulated by several ETSI standards, whereupon EN 302574-2 and 302574-3 </w:t>
      </w:r>
      <w:r w:rsidR="0091467D">
        <w:t xml:space="preserve">define additional requirements for the GEO systems further differentiating between narrow and wide-band systems. </w:t>
      </w:r>
      <w:r w:rsidR="003151AB">
        <w:t xml:space="preserve">However, it is worth checking whether 3GPP needs to account for </w:t>
      </w:r>
      <w:r w:rsidR="003151AB">
        <w:t>EN 302574-2 and 302574-3</w:t>
      </w:r>
      <w:r w:rsidR="003151AB">
        <w:t xml:space="preserve"> because these s</w:t>
      </w:r>
      <w:r w:rsidR="00D52DB9">
        <w:t xml:space="preserve">pecifications do not necessarily define more stringent requirements compared to </w:t>
      </w:r>
      <w:r w:rsidR="00D52DB9" w:rsidRPr="00B2709F">
        <w:t>EN 301 442</w:t>
      </w:r>
      <w:r w:rsidR="00D52DB9">
        <w:t xml:space="preserve">. As an example, Figure 2.2-1 below presents the in-band </w:t>
      </w:r>
      <w:proofErr w:type="spellStart"/>
      <w:r w:rsidR="00D52DB9">
        <w:t>mask</w:t>
      </w:r>
      <w:proofErr w:type="spellEnd"/>
      <w:r w:rsidR="00D52DB9">
        <w:t xml:space="preserve"> for the narrow-band system from </w:t>
      </w:r>
      <w:r w:rsidR="00D52DB9">
        <w:t>302574-3</w:t>
      </w:r>
      <w:r w:rsidR="00AF1316">
        <w:t xml:space="preserve">. </w:t>
      </w:r>
      <w:r w:rsidR="000B00C4">
        <w:t xml:space="preserve">And as can be seen, the ETSI mask in </w:t>
      </w:r>
      <w:r w:rsidR="000B00C4">
        <w:t>Figure 2.2-1</w:t>
      </w:r>
      <w:r w:rsidR="00414495">
        <w:t xml:space="preserve"> is even relaxed compared to the mask in </w:t>
      </w:r>
      <w:r w:rsidR="00414495">
        <w:t>Figure 2.1-1</w:t>
      </w:r>
      <w:r w:rsidR="00CA396B">
        <w:t xml:space="preserve">, i.e. if NB-IOT can meet a more stringent without any extra power back-off then it is not clear whether 3GPP even needs to capture requirements from </w:t>
      </w:r>
      <w:r w:rsidR="00CA396B">
        <w:t>EN 302 574-3</w:t>
      </w:r>
      <w:r w:rsidR="00CA396B">
        <w:t>.</w:t>
      </w:r>
    </w:p>
    <w:p w14:paraId="149AA326" w14:textId="77777777" w:rsidR="00AF1316" w:rsidRDefault="00AF1316" w:rsidP="00152A76"/>
    <w:p w14:paraId="22DE0CCD" w14:textId="32230363" w:rsidR="00AF1316" w:rsidRPr="00152A76" w:rsidRDefault="00AF1316" w:rsidP="00152A76">
      <w:r>
        <w:rPr>
          <w:noProof/>
        </w:rPr>
        <w:drawing>
          <wp:inline distT="0" distB="0" distL="0" distR="0" wp14:anchorId="0445B19A" wp14:editId="4D48643E">
            <wp:extent cx="6122035" cy="5775325"/>
            <wp:effectExtent l="0" t="0" r="0" b="0"/>
            <wp:docPr id="1355709233" name="Graphic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5709233" name="Graphic 1355709233"/>
                    <pic:cNvPicPr/>
                  </pic:nvPicPr>
                  <pic:blipFill>
                    <a:blip r:embed="rId15">
                      <a:extLst>
                        <a:ext uri="{96DAC541-7B7A-43D3-8B79-37D633B846F1}">
                          <asvg:svgBlip xmlns:asvg="http://schemas.microsoft.com/office/drawing/2016/SVG/main" r:embed="rId16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2035" cy="5775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00DF5E" w14:textId="77777777" w:rsidR="00C66E12" w:rsidRDefault="00C66E12" w:rsidP="001F7594"/>
    <w:p w14:paraId="5D820BBE" w14:textId="7E475E7D" w:rsidR="00152A76" w:rsidRDefault="00DA0BA2" w:rsidP="001F7594">
      <w:r>
        <w:t xml:space="preserve">Thus, 3GPP should check further </w:t>
      </w:r>
      <w:r w:rsidRPr="00B2709F">
        <w:t>EN</w:t>
      </w:r>
      <w:r>
        <w:t xml:space="preserve"> 302 574-2 and EN 302 574-3</w:t>
      </w:r>
      <w:r>
        <w:t xml:space="preserve"> because it might be sufficient to capture </w:t>
      </w:r>
      <w:r w:rsidR="001C4013">
        <w:t xml:space="preserve">only </w:t>
      </w:r>
      <w:r>
        <w:t xml:space="preserve">more stringent requirements from </w:t>
      </w:r>
      <w:r w:rsidRPr="00B2709F">
        <w:t>EN 301 442</w:t>
      </w:r>
      <w:r w:rsidR="009A7507">
        <w:t xml:space="preserve"> making them applicable to both GEO and non-GEO systems</w:t>
      </w:r>
      <w:r>
        <w:t>.</w:t>
      </w:r>
    </w:p>
    <w:p w14:paraId="105DED78" w14:textId="22D76288" w:rsidR="001C4013" w:rsidRDefault="001C4013" w:rsidP="008D0F51">
      <w:pPr>
        <w:pStyle w:val="Observation"/>
      </w:pPr>
      <w:r w:rsidRPr="005A189E">
        <w:t xml:space="preserve">Observation </w:t>
      </w:r>
      <w:r>
        <w:t>2</w:t>
      </w:r>
      <w:r w:rsidRPr="005A189E">
        <w:t>:</w:t>
      </w:r>
      <w:r w:rsidRPr="005A189E">
        <w:tab/>
      </w:r>
      <w:r w:rsidR="008A46F8">
        <w:t xml:space="preserve">If ETSI EN </w:t>
      </w:r>
      <w:r w:rsidR="008A46F8" w:rsidRPr="008A46F8">
        <w:t>301442</w:t>
      </w:r>
      <w:r w:rsidR="008A46F8">
        <w:t xml:space="preserve"> contains more stringent requirements compared to </w:t>
      </w:r>
      <w:r w:rsidR="008A46F8" w:rsidRPr="008A46F8">
        <w:t>EN 302 574-2 and EN 302 574-3</w:t>
      </w:r>
      <w:r w:rsidR="008A46F8">
        <w:t>, it might be sufficient to capture only one set</w:t>
      </w:r>
      <w:r w:rsidR="002834A6">
        <w:t xml:space="preserve"> as a common worst-case baseline.</w:t>
      </w:r>
    </w:p>
    <w:p w14:paraId="76A58F60" w14:textId="77777777" w:rsidR="00AF1316" w:rsidRDefault="00AF1316" w:rsidP="001F7594"/>
    <w:p w14:paraId="60FC114B" w14:textId="77777777" w:rsidR="00C66E12" w:rsidRDefault="00C66E12" w:rsidP="001F7594"/>
    <w:p w14:paraId="7565BE01" w14:textId="77777777" w:rsidR="00C66E12" w:rsidRDefault="00C66E12" w:rsidP="001F7594"/>
    <w:p w14:paraId="6CC15EEC" w14:textId="77777777" w:rsidR="00C66E12" w:rsidRDefault="00C66E12" w:rsidP="001F7594"/>
    <w:p w14:paraId="34C99636" w14:textId="77777777" w:rsidR="008E7986" w:rsidRDefault="008E7986" w:rsidP="008E7986">
      <w:pPr>
        <w:pStyle w:val="Heading1"/>
      </w:pPr>
      <w:r>
        <w:lastRenderedPageBreak/>
        <w:t>3</w:t>
      </w:r>
      <w:r>
        <w:tab/>
        <w:t>Conclusions</w:t>
      </w:r>
    </w:p>
    <w:p w14:paraId="0DA01C95" w14:textId="7FC0DEA5" w:rsidR="0062595A" w:rsidRDefault="00C94838" w:rsidP="003468CD">
      <w:r>
        <w:t xml:space="preserve">In this discussion paper we presented our considerations on </w:t>
      </w:r>
      <w:r w:rsidR="00695CB8">
        <w:t>the</w:t>
      </w:r>
      <w:r>
        <w:t xml:space="preserve"> ETSI requirements for the </w:t>
      </w:r>
      <w:r w:rsidR="004C17FF">
        <w:t>S</w:t>
      </w:r>
      <w:r>
        <w:t>-</w:t>
      </w:r>
      <w:r w:rsidR="00695CB8">
        <w:t>band</w:t>
      </w:r>
      <w:r>
        <w:t xml:space="preserve"> and </w:t>
      </w:r>
      <w:r w:rsidR="00695CB8">
        <w:t xml:space="preserve">whether they can be met by the </w:t>
      </w:r>
      <w:r w:rsidR="004C17FF">
        <w:t xml:space="preserve">3GPP </w:t>
      </w:r>
      <w:r w:rsidR="003D514B">
        <w:t>NB-</w:t>
      </w:r>
      <w:r w:rsidR="00695CB8">
        <w:t>IOT</w:t>
      </w:r>
      <w:r w:rsidR="004C17FF">
        <w:t xml:space="preserve"> and NR</w:t>
      </w:r>
      <w:r w:rsidR="00293B65">
        <w:t>.</w:t>
      </w:r>
      <w:r w:rsidR="00695CB8">
        <w:t xml:space="preserve"> Based on the presented analysis</w:t>
      </w:r>
      <w:r w:rsidR="004C17FF">
        <w:t>, no addition power back-off is anticipated for the NB-IOT, but NR requires further power back-off analysis</w:t>
      </w:r>
      <w:r w:rsidR="00007A5E">
        <w:t>.</w:t>
      </w:r>
    </w:p>
    <w:p w14:paraId="693D6404" w14:textId="77777777" w:rsidR="00030A64" w:rsidRDefault="00030A64" w:rsidP="003468CD"/>
    <w:p w14:paraId="55E4C24D" w14:textId="77777777" w:rsidR="00030A64" w:rsidRPr="005A189E" w:rsidRDefault="00030A64" w:rsidP="00030A64">
      <w:pPr>
        <w:pStyle w:val="Observation"/>
      </w:pPr>
      <w:r w:rsidRPr="005A189E">
        <w:t>Observation 1a:</w:t>
      </w:r>
      <w:r w:rsidRPr="005A189E">
        <w:tab/>
        <w:t>For NB-IOT NTN, ETSI 301442 in-band or out-of-band emission requirements should not cause any extra power back-off.</w:t>
      </w:r>
    </w:p>
    <w:p w14:paraId="5945629B" w14:textId="43FEF6B0" w:rsidR="00030A64" w:rsidRDefault="00030A64" w:rsidP="00030A64">
      <w:pPr>
        <w:pStyle w:val="Observation"/>
      </w:pPr>
      <w:r w:rsidRPr="005A189E">
        <w:t>Observation 1b:</w:t>
      </w:r>
      <w:r w:rsidRPr="005A189E">
        <w:tab/>
        <w:t>For NR NTN, further power back-off analysis is need</w:t>
      </w:r>
      <w:r>
        <w:t>ed</w:t>
      </w:r>
      <w:r w:rsidRPr="005A189E">
        <w:t xml:space="preserve"> because ETSI mask has more stringent requirements for certain frequency ranges and offsets.</w:t>
      </w:r>
    </w:p>
    <w:p w14:paraId="3C0CDA70" w14:textId="77777777" w:rsidR="00C66E12" w:rsidRDefault="00C66E12" w:rsidP="00C66E12">
      <w:pPr>
        <w:pStyle w:val="Observation"/>
      </w:pPr>
      <w:r w:rsidRPr="005A189E">
        <w:t xml:space="preserve">Observation </w:t>
      </w:r>
      <w:r>
        <w:t>2</w:t>
      </w:r>
      <w:r w:rsidRPr="005A189E">
        <w:t>:</w:t>
      </w:r>
      <w:r w:rsidRPr="005A189E">
        <w:tab/>
      </w:r>
      <w:r>
        <w:t xml:space="preserve">If ETSI EN </w:t>
      </w:r>
      <w:r w:rsidRPr="008A46F8">
        <w:t>301442</w:t>
      </w:r>
      <w:r>
        <w:t xml:space="preserve"> contains more stringent requirements compared to </w:t>
      </w:r>
      <w:r w:rsidRPr="008A46F8">
        <w:t>EN 302 574-2 and EN 302 574-3</w:t>
      </w:r>
      <w:r>
        <w:t>, it might be sufficient to capture only one set as a common worst-case baseline.</w:t>
      </w:r>
    </w:p>
    <w:p w14:paraId="40D810E4" w14:textId="77777777" w:rsidR="00C66E12" w:rsidRDefault="00C66E12" w:rsidP="00030A64">
      <w:pPr>
        <w:pStyle w:val="Observation"/>
      </w:pPr>
    </w:p>
    <w:p w14:paraId="769CC3B8" w14:textId="77777777" w:rsidR="0062595A" w:rsidRDefault="0062595A" w:rsidP="00E72324"/>
    <w:p w14:paraId="05CC6F0A" w14:textId="135A2F15" w:rsidR="005E69AE" w:rsidRDefault="005E69AE" w:rsidP="0062595A">
      <w:pPr>
        <w:spacing w:after="0"/>
      </w:pPr>
    </w:p>
    <w:p w14:paraId="4D133CD8" w14:textId="5D78B987" w:rsidR="00276EE4" w:rsidRPr="003A0483" w:rsidRDefault="005E69AE" w:rsidP="000D322B">
      <w:pPr>
        <w:pStyle w:val="Heading1"/>
      </w:pPr>
      <w:r>
        <w:t>4</w:t>
      </w:r>
      <w:r>
        <w:tab/>
        <w:t>References</w:t>
      </w:r>
    </w:p>
    <w:p w14:paraId="6664E974" w14:textId="77777777" w:rsidR="004F5CB8" w:rsidRDefault="004F5CB8" w:rsidP="00EF1E5C">
      <w:pPr>
        <w:pStyle w:val="EX"/>
      </w:pPr>
      <w:bookmarkStart w:id="1" w:name="_Ref13820109"/>
      <w:r w:rsidRPr="00804854">
        <w:t>RP-193234</w:t>
      </w:r>
      <w:r>
        <w:t>, "</w:t>
      </w:r>
      <w:r w:rsidRPr="00804854">
        <w:t>Solutions for NR to support non-terrestrial networks (NTN)</w:t>
      </w:r>
      <w:r>
        <w:t>", Thales</w:t>
      </w:r>
      <w:bookmarkEnd w:id="1"/>
    </w:p>
    <w:bookmarkEnd w:id="0"/>
    <w:sectPr w:rsidR="004F5CB8" w:rsidSect="00114E2C">
      <w:headerReference w:type="default" r:id="rId17"/>
      <w:footerReference w:type="default" r:id="rId18"/>
      <w:footerReference w:type="first" r:id="rId19"/>
      <w:footnotePr>
        <w:numRestart w:val="eachSect"/>
      </w:footnotePr>
      <w:pgSz w:w="11907" w:h="16840" w:code="9"/>
      <w:pgMar w:top="1416" w:right="1133" w:bottom="1133" w:left="1133" w:header="850" w:footer="340" w:gutter="0"/>
      <w:cols w:space="720"/>
      <w:formProt w:val="0"/>
      <w:titlePg/>
      <w:docGrid w:linePitch="272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5C96164" w14:textId="77777777" w:rsidR="00246A50" w:rsidRDefault="00246A50">
      <w:r>
        <w:separator/>
      </w:r>
    </w:p>
  </w:endnote>
  <w:endnote w:type="continuationSeparator" w:id="0">
    <w:p w14:paraId="7B9D1693" w14:textId="77777777" w:rsidR="00246A50" w:rsidRDefault="00246A5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Symbol">
    <w:panose1 w:val="05050102010706020507"/>
    <w:charset w:val="02"/>
    <w:family w:val="decorative"/>
    <w:pitch w:val="variable"/>
    <w:sig w:usb0="00000003" w:usb1="10000000" w:usb2="00000000" w:usb3="00000000" w:csb0="8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604020202020204"/>
    <w:charset w:val="00"/>
    <w:family w:val="swiss"/>
    <w:pitch w:val="variable"/>
    <w:sig w:usb0="E4002EFF" w:usb1="C000E47F" w:usb2="00000009" w:usb3="00000000" w:csb0="000001FF" w:csb1="00000000"/>
  </w:font>
  <w:font w:name="Malgun Gothic">
    <w:altName w:val="맑은 고딕"/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A077316" w14:textId="227602B4" w:rsidR="00E72324" w:rsidRDefault="00E72324">
    <w:pPr>
      <w:pStyle w:val="Footer"/>
    </w:pPr>
    <w:r>
      <w:t>Apple Inc.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1C448A6" w14:textId="15F358C9" w:rsidR="00114E2C" w:rsidRDefault="00114E2C" w:rsidP="00114E2C">
    <w:pPr>
      <w:pStyle w:val="Footer"/>
    </w:pPr>
    <w:r>
      <w:t>Apple Inc.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E417BCE" w14:textId="77777777" w:rsidR="00246A50" w:rsidRDefault="00246A50">
      <w:r>
        <w:separator/>
      </w:r>
    </w:p>
  </w:footnote>
  <w:footnote w:type="continuationSeparator" w:id="0">
    <w:p w14:paraId="7435592A" w14:textId="77777777" w:rsidR="00246A50" w:rsidRDefault="00246A5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92833BB" w14:textId="77777777" w:rsidR="00E72324" w:rsidRDefault="00E72324">
    <w:pPr>
      <w:framePr w:h="284" w:hRule="exact" w:wrap="around" w:vAnchor="text" w:hAnchor="margin" w:xAlign="center" w:y="7"/>
      <w:rPr>
        <w:rFonts w:ascii="Arial" w:hAnsi="Arial" w:cs="Arial"/>
        <w:b/>
        <w:sz w:val="18"/>
        <w:szCs w:val="18"/>
      </w:rPr>
    </w:pPr>
    <w:r>
      <w:rPr>
        <w:rFonts w:ascii="Arial" w:hAnsi="Arial" w:cs="Arial"/>
        <w:b/>
        <w:sz w:val="18"/>
        <w:szCs w:val="18"/>
      </w:rPr>
      <w:fldChar w:fldCharType="begin"/>
    </w:r>
    <w:r>
      <w:rPr>
        <w:rFonts w:ascii="Arial" w:hAnsi="Arial" w:cs="Arial"/>
        <w:b/>
        <w:sz w:val="18"/>
        <w:szCs w:val="18"/>
      </w:rPr>
      <w:instrText xml:space="preserve"> PAGE </w:instrText>
    </w:r>
    <w:r>
      <w:rPr>
        <w:rFonts w:ascii="Arial" w:hAnsi="Arial" w:cs="Arial"/>
        <w:b/>
        <w:sz w:val="18"/>
        <w:szCs w:val="18"/>
      </w:rPr>
      <w:fldChar w:fldCharType="separate"/>
    </w:r>
    <w:r>
      <w:rPr>
        <w:rFonts w:ascii="Arial" w:hAnsi="Arial" w:cs="Arial"/>
        <w:b/>
        <w:noProof/>
        <w:sz w:val="18"/>
        <w:szCs w:val="18"/>
      </w:rPr>
      <w:t>14</w:t>
    </w:r>
    <w:r>
      <w:rPr>
        <w:rFonts w:ascii="Arial" w:hAnsi="Arial" w:cs="Arial"/>
        <w:b/>
        <w:sz w:val="18"/>
        <w:szCs w:val="18"/>
      </w:rPr>
      <w:fldChar w:fldCharType="end"/>
    </w:r>
  </w:p>
  <w:p w14:paraId="12FBC6A2" w14:textId="77777777" w:rsidR="00E72324" w:rsidRDefault="00E72324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FE"/>
    <w:multiLevelType w:val="singleLevel"/>
    <w:tmpl w:val="FFFFFFFF"/>
    <w:lvl w:ilvl="0">
      <w:numFmt w:val="decimal"/>
      <w:lvlText w:val="*"/>
      <w:lvlJc w:val="left"/>
    </w:lvl>
  </w:abstractNum>
  <w:abstractNum w:abstractNumId="1" w15:restartNumberingAfterBreak="0">
    <w:nsid w:val="01F2553B"/>
    <w:multiLevelType w:val="hybridMultilevel"/>
    <w:tmpl w:val="DAD85332"/>
    <w:lvl w:ilvl="0" w:tplc="080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80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2" w15:restartNumberingAfterBreak="0">
    <w:nsid w:val="038069BD"/>
    <w:multiLevelType w:val="hybridMultilevel"/>
    <w:tmpl w:val="80908D3C"/>
    <w:lvl w:ilvl="0" w:tplc="5E22C74A">
      <w:start w:val="1"/>
      <w:numFmt w:val="decimal"/>
      <w:pStyle w:val="EX"/>
      <w:lvlText w:val="[%1]"/>
      <w:lvlJc w:val="left"/>
      <w:pPr>
        <w:tabs>
          <w:tab w:val="num" w:pos="369"/>
        </w:tabs>
        <w:ind w:left="369" w:hanging="369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CA13F4A"/>
    <w:multiLevelType w:val="hybridMultilevel"/>
    <w:tmpl w:val="0D340948"/>
    <w:lvl w:ilvl="0" w:tplc="5F5E32B0">
      <w:numFmt w:val="bullet"/>
      <w:lvlText w:val="-"/>
      <w:lvlJc w:val="left"/>
      <w:pPr>
        <w:ind w:left="644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4" w15:restartNumberingAfterBreak="0">
    <w:nsid w:val="3B50217B"/>
    <w:multiLevelType w:val="multilevel"/>
    <w:tmpl w:val="9D88D010"/>
    <w:lvl w:ilvl="0">
      <w:start w:val="1"/>
      <w:numFmt w:val="decimal"/>
      <w:lvlText w:val="[%1]"/>
      <w:lvlJc w:val="left"/>
      <w:pPr>
        <w:ind w:left="1004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69217601"/>
    <w:multiLevelType w:val="hybridMultilevel"/>
    <w:tmpl w:val="CEB47B26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870100816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 w16cid:durableId="1801992368">
    <w:abstractNumId w:val="0"/>
    <w:lvlOverride w:ilvl="0">
      <w:lvl w:ilvl="0">
        <w:start w:val="1"/>
        <w:numFmt w:val="bullet"/>
        <w:lvlText w:val=""/>
        <w:legacy w:legacy="1" w:legacySpace="0" w:legacyIndent="283"/>
        <w:lvlJc w:val="left"/>
        <w:pPr>
          <w:ind w:left="567" w:hanging="283"/>
        </w:pPr>
        <w:rPr>
          <w:rFonts w:ascii="Symbol" w:hAnsi="Symbol" w:hint="default"/>
        </w:rPr>
      </w:lvl>
    </w:lvlOverride>
  </w:num>
  <w:num w:numId="3" w16cid:durableId="1600216231">
    <w:abstractNumId w:val="1"/>
  </w:num>
  <w:num w:numId="4" w16cid:durableId="108285549">
    <w:abstractNumId w:val="5"/>
  </w:num>
  <w:num w:numId="5" w16cid:durableId="1918592446">
    <w:abstractNumId w:val="2"/>
  </w:num>
  <w:num w:numId="6" w16cid:durableId="1353264174">
    <w:abstractNumId w:val="2"/>
  </w:num>
  <w:num w:numId="7" w16cid:durableId="1929343201">
    <w:abstractNumId w:val="4"/>
  </w:num>
  <w:num w:numId="8" w16cid:durableId="53767009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60"/>
  <w:printFractionalCharacterWidth/>
  <w:embedSystemFonts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284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50"/>
  </w:hdrShapeDefaults>
  <w:footnotePr>
    <w:numRestart w:val="eachSect"/>
    <w:footnote w:id="-1"/>
    <w:footnote w:id="0"/>
  </w:footnotePr>
  <w:endnotePr>
    <w:endnote w:id="-1"/>
    <w:endnote w:id="0"/>
  </w:endnotePr>
  <w:compat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E213A"/>
    <w:rsid w:val="00005BED"/>
    <w:rsid w:val="00007A5E"/>
    <w:rsid w:val="00017B83"/>
    <w:rsid w:val="00030A64"/>
    <w:rsid w:val="00033397"/>
    <w:rsid w:val="00040095"/>
    <w:rsid w:val="00051834"/>
    <w:rsid w:val="00054A22"/>
    <w:rsid w:val="00062023"/>
    <w:rsid w:val="00063E2F"/>
    <w:rsid w:val="000655A6"/>
    <w:rsid w:val="00080512"/>
    <w:rsid w:val="000843E8"/>
    <w:rsid w:val="00087819"/>
    <w:rsid w:val="000A365D"/>
    <w:rsid w:val="000A3D66"/>
    <w:rsid w:val="000A68F3"/>
    <w:rsid w:val="000B00C4"/>
    <w:rsid w:val="000B6670"/>
    <w:rsid w:val="000C47C3"/>
    <w:rsid w:val="000D322B"/>
    <w:rsid w:val="000D58AB"/>
    <w:rsid w:val="000D59FD"/>
    <w:rsid w:val="000D62AA"/>
    <w:rsid w:val="00103CDF"/>
    <w:rsid w:val="00104BC6"/>
    <w:rsid w:val="00105A14"/>
    <w:rsid w:val="00114E2C"/>
    <w:rsid w:val="00133525"/>
    <w:rsid w:val="0014090D"/>
    <w:rsid w:val="00140A0B"/>
    <w:rsid w:val="00152A76"/>
    <w:rsid w:val="001954BE"/>
    <w:rsid w:val="00196838"/>
    <w:rsid w:val="001A4C42"/>
    <w:rsid w:val="001B009A"/>
    <w:rsid w:val="001C21C3"/>
    <w:rsid w:val="001C3037"/>
    <w:rsid w:val="001C4013"/>
    <w:rsid w:val="001D02C2"/>
    <w:rsid w:val="001F0C1D"/>
    <w:rsid w:val="001F1132"/>
    <w:rsid w:val="001F168B"/>
    <w:rsid w:val="001F7594"/>
    <w:rsid w:val="001F7E80"/>
    <w:rsid w:val="00215168"/>
    <w:rsid w:val="00220194"/>
    <w:rsid w:val="002347A2"/>
    <w:rsid w:val="00236878"/>
    <w:rsid w:val="00246A50"/>
    <w:rsid w:val="00247926"/>
    <w:rsid w:val="002675F0"/>
    <w:rsid w:val="0027645E"/>
    <w:rsid w:val="00276EE4"/>
    <w:rsid w:val="002810CC"/>
    <w:rsid w:val="002834A6"/>
    <w:rsid w:val="002858D6"/>
    <w:rsid w:val="0028779C"/>
    <w:rsid w:val="0028796A"/>
    <w:rsid w:val="00293B65"/>
    <w:rsid w:val="002B0AEB"/>
    <w:rsid w:val="002B1180"/>
    <w:rsid w:val="002B2390"/>
    <w:rsid w:val="002B6339"/>
    <w:rsid w:val="002C329D"/>
    <w:rsid w:val="002C77D4"/>
    <w:rsid w:val="002E00EE"/>
    <w:rsid w:val="00300BF3"/>
    <w:rsid w:val="003151AB"/>
    <w:rsid w:val="003172DC"/>
    <w:rsid w:val="00320AA4"/>
    <w:rsid w:val="00321C59"/>
    <w:rsid w:val="0032423A"/>
    <w:rsid w:val="003333B3"/>
    <w:rsid w:val="00337364"/>
    <w:rsid w:val="0034052F"/>
    <w:rsid w:val="003468CD"/>
    <w:rsid w:val="00347152"/>
    <w:rsid w:val="0035462D"/>
    <w:rsid w:val="0036790D"/>
    <w:rsid w:val="0037216D"/>
    <w:rsid w:val="0037657F"/>
    <w:rsid w:val="003765B8"/>
    <w:rsid w:val="00385187"/>
    <w:rsid w:val="00386D57"/>
    <w:rsid w:val="003A0483"/>
    <w:rsid w:val="003A103E"/>
    <w:rsid w:val="003A57BF"/>
    <w:rsid w:val="003B5FDA"/>
    <w:rsid w:val="003C3971"/>
    <w:rsid w:val="003C3D83"/>
    <w:rsid w:val="003D514B"/>
    <w:rsid w:val="003E7753"/>
    <w:rsid w:val="003F0223"/>
    <w:rsid w:val="003F3E46"/>
    <w:rsid w:val="00414495"/>
    <w:rsid w:val="00423334"/>
    <w:rsid w:val="004345EC"/>
    <w:rsid w:val="00434F1B"/>
    <w:rsid w:val="004826A9"/>
    <w:rsid w:val="004C1601"/>
    <w:rsid w:val="004C17FF"/>
    <w:rsid w:val="004D3578"/>
    <w:rsid w:val="004E213A"/>
    <w:rsid w:val="004F0988"/>
    <w:rsid w:val="004F3340"/>
    <w:rsid w:val="004F3E3D"/>
    <w:rsid w:val="004F5CB8"/>
    <w:rsid w:val="0052216E"/>
    <w:rsid w:val="005229C2"/>
    <w:rsid w:val="0052436C"/>
    <w:rsid w:val="0053388B"/>
    <w:rsid w:val="00535773"/>
    <w:rsid w:val="00541B74"/>
    <w:rsid w:val="00543E6C"/>
    <w:rsid w:val="00544CF4"/>
    <w:rsid w:val="00552802"/>
    <w:rsid w:val="00564314"/>
    <w:rsid w:val="00565087"/>
    <w:rsid w:val="00572E14"/>
    <w:rsid w:val="005973BE"/>
    <w:rsid w:val="005A189E"/>
    <w:rsid w:val="005A5986"/>
    <w:rsid w:val="005C1E64"/>
    <w:rsid w:val="005D2E01"/>
    <w:rsid w:val="005D7526"/>
    <w:rsid w:val="005E69AE"/>
    <w:rsid w:val="005F0662"/>
    <w:rsid w:val="005F17F4"/>
    <w:rsid w:val="00602AEA"/>
    <w:rsid w:val="00607E3C"/>
    <w:rsid w:val="00614FDF"/>
    <w:rsid w:val="006246A7"/>
    <w:rsid w:val="0062595A"/>
    <w:rsid w:val="00633CFF"/>
    <w:rsid w:val="0063543D"/>
    <w:rsid w:val="00641EDC"/>
    <w:rsid w:val="00647114"/>
    <w:rsid w:val="00695CB8"/>
    <w:rsid w:val="006A1C68"/>
    <w:rsid w:val="006A323F"/>
    <w:rsid w:val="006B1F12"/>
    <w:rsid w:val="006B30D0"/>
    <w:rsid w:val="006C3D95"/>
    <w:rsid w:val="006C6B83"/>
    <w:rsid w:val="006E0320"/>
    <w:rsid w:val="006E1154"/>
    <w:rsid w:val="006E5C86"/>
    <w:rsid w:val="006E7B31"/>
    <w:rsid w:val="006E7B56"/>
    <w:rsid w:val="006F00ED"/>
    <w:rsid w:val="007003AF"/>
    <w:rsid w:val="00713C44"/>
    <w:rsid w:val="0073290D"/>
    <w:rsid w:val="00734A5B"/>
    <w:rsid w:val="0074026F"/>
    <w:rsid w:val="007429F6"/>
    <w:rsid w:val="00744E76"/>
    <w:rsid w:val="00745958"/>
    <w:rsid w:val="00752198"/>
    <w:rsid w:val="00753881"/>
    <w:rsid w:val="00766939"/>
    <w:rsid w:val="00766F03"/>
    <w:rsid w:val="00774DA4"/>
    <w:rsid w:val="00781BC9"/>
    <w:rsid w:val="00781F0F"/>
    <w:rsid w:val="00785878"/>
    <w:rsid w:val="00796D01"/>
    <w:rsid w:val="007B600E"/>
    <w:rsid w:val="007C023B"/>
    <w:rsid w:val="007C7F6C"/>
    <w:rsid w:val="007D57C5"/>
    <w:rsid w:val="007E0D53"/>
    <w:rsid w:val="007F0F4A"/>
    <w:rsid w:val="008028A4"/>
    <w:rsid w:val="00814B32"/>
    <w:rsid w:val="00816F41"/>
    <w:rsid w:val="00820B25"/>
    <w:rsid w:val="00830747"/>
    <w:rsid w:val="00832408"/>
    <w:rsid w:val="0086094D"/>
    <w:rsid w:val="00864963"/>
    <w:rsid w:val="008664AA"/>
    <w:rsid w:val="008711D0"/>
    <w:rsid w:val="008768CA"/>
    <w:rsid w:val="008A46F8"/>
    <w:rsid w:val="008C384C"/>
    <w:rsid w:val="008D0F51"/>
    <w:rsid w:val="008E03C4"/>
    <w:rsid w:val="008E7986"/>
    <w:rsid w:val="008F1A61"/>
    <w:rsid w:val="0090271F"/>
    <w:rsid w:val="00902B5D"/>
    <w:rsid w:val="00902E23"/>
    <w:rsid w:val="009114D7"/>
    <w:rsid w:val="0091348E"/>
    <w:rsid w:val="0091467D"/>
    <w:rsid w:val="00917CCB"/>
    <w:rsid w:val="009416E2"/>
    <w:rsid w:val="00942EC2"/>
    <w:rsid w:val="009664B0"/>
    <w:rsid w:val="009720D1"/>
    <w:rsid w:val="00993128"/>
    <w:rsid w:val="009A7507"/>
    <w:rsid w:val="009A7F7E"/>
    <w:rsid w:val="009F0BD9"/>
    <w:rsid w:val="009F37B7"/>
    <w:rsid w:val="009F5E43"/>
    <w:rsid w:val="009F5F3D"/>
    <w:rsid w:val="00A01244"/>
    <w:rsid w:val="00A024C2"/>
    <w:rsid w:val="00A10F02"/>
    <w:rsid w:val="00A164B4"/>
    <w:rsid w:val="00A25B38"/>
    <w:rsid w:val="00A26956"/>
    <w:rsid w:val="00A511B3"/>
    <w:rsid w:val="00A53724"/>
    <w:rsid w:val="00A73129"/>
    <w:rsid w:val="00A82346"/>
    <w:rsid w:val="00A85D89"/>
    <w:rsid w:val="00A917CA"/>
    <w:rsid w:val="00A92BA1"/>
    <w:rsid w:val="00AB337F"/>
    <w:rsid w:val="00AC6BC6"/>
    <w:rsid w:val="00AE3797"/>
    <w:rsid w:val="00AF1316"/>
    <w:rsid w:val="00AF29AB"/>
    <w:rsid w:val="00AF5139"/>
    <w:rsid w:val="00B13555"/>
    <w:rsid w:val="00B142FF"/>
    <w:rsid w:val="00B14894"/>
    <w:rsid w:val="00B15449"/>
    <w:rsid w:val="00B244FD"/>
    <w:rsid w:val="00B2709F"/>
    <w:rsid w:val="00B302D2"/>
    <w:rsid w:val="00B34884"/>
    <w:rsid w:val="00B554A2"/>
    <w:rsid w:val="00B650C4"/>
    <w:rsid w:val="00B85785"/>
    <w:rsid w:val="00B93086"/>
    <w:rsid w:val="00BA19ED"/>
    <w:rsid w:val="00BA300B"/>
    <w:rsid w:val="00BA4B8D"/>
    <w:rsid w:val="00BC0F7D"/>
    <w:rsid w:val="00BC38F7"/>
    <w:rsid w:val="00BC7625"/>
    <w:rsid w:val="00BE3255"/>
    <w:rsid w:val="00BE78A9"/>
    <w:rsid w:val="00BF128E"/>
    <w:rsid w:val="00C1496A"/>
    <w:rsid w:val="00C33079"/>
    <w:rsid w:val="00C410A9"/>
    <w:rsid w:val="00C42FE1"/>
    <w:rsid w:val="00C43795"/>
    <w:rsid w:val="00C45231"/>
    <w:rsid w:val="00C65948"/>
    <w:rsid w:val="00C66E12"/>
    <w:rsid w:val="00C72833"/>
    <w:rsid w:val="00C72C1E"/>
    <w:rsid w:val="00C77BB2"/>
    <w:rsid w:val="00C80F1D"/>
    <w:rsid w:val="00C814CA"/>
    <w:rsid w:val="00C83810"/>
    <w:rsid w:val="00C93F40"/>
    <w:rsid w:val="00C94838"/>
    <w:rsid w:val="00C9789C"/>
    <w:rsid w:val="00CA1761"/>
    <w:rsid w:val="00CA396B"/>
    <w:rsid w:val="00CA3D0C"/>
    <w:rsid w:val="00CA4BCC"/>
    <w:rsid w:val="00CC7C29"/>
    <w:rsid w:val="00CC7C66"/>
    <w:rsid w:val="00CE3A08"/>
    <w:rsid w:val="00CF20E3"/>
    <w:rsid w:val="00CF4836"/>
    <w:rsid w:val="00D16AF1"/>
    <w:rsid w:val="00D309CC"/>
    <w:rsid w:val="00D31FE0"/>
    <w:rsid w:val="00D325B6"/>
    <w:rsid w:val="00D333FB"/>
    <w:rsid w:val="00D37A6E"/>
    <w:rsid w:val="00D41A75"/>
    <w:rsid w:val="00D4627C"/>
    <w:rsid w:val="00D46431"/>
    <w:rsid w:val="00D52DB9"/>
    <w:rsid w:val="00D56A52"/>
    <w:rsid w:val="00D57207"/>
    <w:rsid w:val="00D57972"/>
    <w:rsid w:val="00D62CF4"/>
    <w:rsid w:val="00D66E31"/>
    <w:rsid w:val="00D675A9"/>
    <w:rsid w:val="00D738D6"/>
    <w:rsid w:val="00D755EB"/>
    <w:rsid w:val="00D7700A"/>
    <w:rsid w:val="00D83D65"/>
    <w:rsid w:val="00D87E00"/>
    <w:rsid w:val="00D9134D"/>
    <w:rsid w:val="00DA0BA2"/>
    <w:rsid w:val="00DA70C9"/>
    <w:rsid w:val="00DA7A03"/>
    <w:rsid w:val="00DB1818"/>
    <w:rsid w:val="00DC309B"/>
    <w:rsid w:val="00DC4DA2"/>
    <w:rsid w:val="00DD474B"/>
    <w:rsid w:val="00DD4C17"/>
    <w:rsid w:val="00DD5217"/>
    <w:rsid w:val="00DE1088"/>
    <w:rsid w:val="00DF2007"/>
    <w:rsid w:val="00DF2B1F"/>
    <w:rsid w:val="00DF6189"/>
    <w:rsid w:val="00DF62CD"/>
    <w:rsid w:val="00E0380E"/>
    <w:rsid w:val="00E11FF8"/>
    <w:rsid w:val="00E16509"/>
    <w:rsid w:val="00E32641"/>
    <w:rsid w:val="00E44582"/>
    <w:rsid w:val="00E52814"/>
    <w:rsid w:val="00E5486E"/>
    <w:rsid w:val="00E6187E"/>
    <w:rsid w:val="00E70EB9"/>
    <w:rsid w:val="00E72324"/>
    <w:rsid w:val="00E72ABE"/>
    <w:rsid w:val="00E77645"/>
    <w:rsid w:val="00E83C1B"/>
    <w:rsid w:val="00E84A16"/>
    <w:rsid w:val="00EA4C9E"/>
    <w:rsid w:val="00EB68EC"/>
    <w:rsid w:val="00EC4A25"/>
    <w:rsid w:val="00EE5AA7"/>
    <w:rsid w:val="00EF1E5C"/>
    <w:rsid w:val="00F025A2"/>
    <w:rsid w:val="00F04712"/>
    <w:rsid w:val="00F21311"/>
    <w:rsid w:val="00F22EC7"/>
    <w:rsid w:val="00F325C8"/>
    <w:rsid w:val="00F345E1"/>
    <w:rsid w:val="00F4738D"/>
    <w:rsid w:val="00F47F57"/>
    <w:rsid w:val="00F55410"/>
    <w:rsid w:val="00F55AC2"/>
    <w:rsid w:val="00F55E6B"/>
    <w:rsid w:val="00F57645"/>
    <w:rsid w:val="00F62AEB"/>
    <w:rsid w:val="00F653B8"/>
    <w:rsid w:val="00F70647"/>
    <w:rsid w:val="00F71596"/>
    <w:rsid w:val="00F86D62"/>
    <w:rsid w:val="00FA1266"/>
    <w:rsid w:val="00FB0A55"/>
    <w:rsid w:val="00FB4F82"/>
    <w:rsid w:val="00FC1192"/>
    <w:rsid w:val="00FD424A"/>
    <w:rsid w:val="00FF3D49"/>
    <w:rsid w:val="00FF6EE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,"/>
  <w14:docId w14:val="50143B59"/>
  <w15:chartTrackingRefBased/>
  <w15:docId w15:val="{C1E256F0-A0B3-411F-BCCB-5F2ECFDEF4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en-GB" w:eastAsia="en-GB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toc 8" w:uiPriority="39"/>
    <w:lsdException w:name="toc 9" w:uiPriority="3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Variable" w:semiHidden="1" w:unhideWhenUsed="1"/>
    <w:lsdException w:name="Normal Table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qFormat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pPr>
      <w:spacing w:after="180"/>
    </w:pPr>
    <w:rPr>
      <w:lang w:eastAsia="en-US"/>
    </w:rPr>
  </w:style>
  <w:style w:type="paragraph" w:styleId="Heading1">
    <w:name w:val="heading 1"/>
    <w:next w:val="Normal"/>
    <w:qFormat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eastAsia="en-US"/>
    </w:rPr>
  </w:style>
  <w:style w:type="paragraph" w:styleId="Heading2">
    <w:name w:val="heading 2"/>
    <w:basedOn w:val="Heading1"/>
    <w:next w:val="Normal"/>
    <w:qFormat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qFormat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qFormat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pPr>
      <w:outlineLvl w:val="5"/>
    </w:pPr>
  </w:style>
  <w:style w:type="paragraph" w:styleId="Heading7">
    <w:name w:val="heading 7"/>
    <w:basedOn w:val="H6"/>
    <w:next w:val="Normal"/>
    <w:qFormat/>
    <w:pPr>
      <w:outlineLvl w:val="6"/>
    </w:pPr>
  </w:style>
  <w:style w:type="paragraph" w:styleId="Heading8">
    <w:name w:val="heading 8"/>
    <w:basedOn w:val="Heading1"/>
    <w:next w:val="Normal"/>
    <w:qFormat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H6">
    <w:name w:val="H6"/>
    <w:basedOn w:val="Heading5"/>
    <w:next w:val="Normal"/>
    <w:pPr>
      <w:ind w:left="1985" w:hanging="1985"/>
      <w:outlineLvl w:val="9"/>
    </w:pPr>
    <w:rPr>
      <w:sz w:val="20"/>
    </w:rPr>
  </w:style>
  <w:style w:type="paragraph" w:styleId="TOC9">
    <w:name w:val="toc 9"/>
    <w:basedOn w:val="TOC8"/>
    <w:uiPriority w:val="39"/>
    <w:pPr>
      <w:ind w:left="1600"/>
    </w:pPr>
  </w:style>
  <w:style w:type="paragraph" w:styleId="TOC8">
    <w:name w:val="toc 8"/>
    <w:basedOn w:val="TOC1"/>
    <w:uiPriority w:val="39"/>
    <w:pPr>
      <w:spacing w:after="0"/>
      <w:ind w:left="1400"/>
    </w:pPr>
    <w:rPr>
      <w:b w:val="0"/>
      <w:bCs w:val="0"/>
    </w:rPr>
  </w:style>
  <w:style w:type="paragraph" w:styleId="TOC1">
    <w:name w:val="toc 1"/>
    <w:aliases w:val="TOC Proposal 1"/>
    <w:basedOn w:val="Proposal"/>
    <w:uiPriority w:val="39"/>
    <w:rsid w:val="005973BE"/>
    <w:rPr>
      <w:bCs/>
    </w:rPr>
  </w:style>
  <w:style w:type="paragraph" w:customStyle="1" w:styleId="EQ">
    <w:name w:val="EQ"/>
    <w:basedOn w:val="Normal"/>
    <w:next w:val="Normal"/>
    <w:pPr>
      <w:keepLines/>
      <w:tabs>
        <w:tab w:val="center" w:pos="4536"/>
        <w:tab w:val="right" w:pos="9072"/>
      </w:tabs>
    </w:pPr>
    <w:rPr>
      <w:noProof/>
    </w:rPr>
  </w:style>
  <w:style w:type="character" w:customStyle="1" w:styleId="ZGSM">
    <w:name w:val="ZGSM"/>
  </w:style>
  <w:style w:type="paragraph" w:styleId="Header">
    <w:name w:val="header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noProof/>
      <w:sz w:val="18"/>
      <w:lang w:eastAsia="ja-JP"/>
    </w:rPr>
  </w:style>
  <w:style w:type="paragraph" w:customStyle="1" w:styleId="ZD">
    <w:name w:val="ZD"/>
    <w:pPr>
      <w:framePr w:wrap="notBeside" w:vAnchor="page" w:hAnchor="margin" w:y="15764"/>
      <w:widowControl w:val="0"/>
    </w:pPr>
    <w:rPr>
      <w:rFonts w:ascii="Arial" w:hAnsi="Arial"/>
      <w:noProof/>
      <w:sz w:val="32"/>
      <w:lang w:eastAsia="en-US"/>
    </w:rPr>
  </w:style>
  <w:style w:type="paragraph" w:styleId="TOC5">
    <w:name w:val="toc 5"/>
    <w:basedOn w:val="TOC4"/>
    <w:semiHidden/>
    <w:pPr>
      <w:ind w:left="800"/>
    </w:pPr>
  </w:style>
  <w:style w:type="paragraph" w:styleId="TOC4">
    <w:name w:val="toc 4"/>
    <w:basedOn w:val="TOC3"/>
    <w:semiHidden/>
    <w:pPr>
      <w:ind w:left="600"/>
    </w:pPr>
  </w:style>
  <w:style w:type="paragraph" w:styleId="TOC3">
    <w:name w:val="toc 3"/>
    <w:basedOn w:val="TOC2"/>
    <w:semiHidden/>
    <w:pPr>
      <w:spacing w:before="0"/>
      <w:ind w:left="400"/>
    </w:pPr>
    <w:rPr>
      <w:i w:val="0"/>
      <w:iCs w:val="0"/>
    </w:rPr>
  </w:style>
  <w:style w:type="paragraph" w:styleId="TOC2">
    <w:name w:val="toc 2"/>
    <w:basedOn w:val="TOC1"/>
    <w:uiPriority w:val="39"/>
    <w:pPr>
      <w:spacing w:before="120" w:after="0"/>
      <w:ind w:left="200"/>
    </w:pPr>
    <w:rPr>
      <w:b w:val="0"/>
      <w:bCs w:val="0"/>
      <w:i/>
      <w:iCs/>
    </w:rPr>
  </w:style>
  <w:style w:type="paragraph" w:styleId="Footer">
    <w:name w:val="footer"/>
    <w:basedOn w:val="Header"/>
    <w:pPr>
      <w:jc w:val="center"/>
    </w:pPr>
    <w:rPr>
      <w:i/>
    </w:rPr>
  </w:style>
  <w:style w:type="paragraph" w:customStyle="1" w:styleId="TT">
    <w:name w:val="TT"/>
    <w:basedOn w:val="Heading1"/>
    <w:next w:val="Normal"/>
    <w:pPr>
      <w:outlineLvl w:val="9"/>
    </w:pPr>
  </w:style>
  <w:style w:type="paragraph" w:customStyle="1" w:styleId="NF">
    <w:name w:val="NF"/>
    <w:basedOn w:val="NO"/>
    <w:pPr>
      <w:keepNext/>
      <w:spacing w:after="0"/>
    </w:pPr>
    <w:rPr>
      <w:rFonts w:ascii="Arial" w:hAnsi="Arial"/>
      <w:sz w:val="18"/>
    </w:rPr>
  </w:style>
  <w:style w:type="paragraph" w:customStyle="1" w:styleId="NO">
    <w:name w:val="NO"/>
    <w:basedOn w:val="Normal"/>
    <w:pPr>
      <w:keepLines/>
      <w:ind w:left="1135" w:hanging="851"/>
    </w:pPr>
  </w:style>
  <w:style w:type="paragraph" w:customStyle="1" w:styleId="PL">
    <w:name w:val="PL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eastAsia="en-US"/>
    </w:rPr>
  </w:style>
  <w:style w:type="paragraph" w:customStyle="1" w:styleId="TAR">
    <w:name w:val="TAR"/>
    <w:basedOn w:val="TAL"/>
    <w:pPr>
      <w:jc w:val="right"/>
    </w:pPr>
  </w:style>
  <w:style w:type="paragraph" w:customStyle="1" w:styleId="TAL">
    <w:name w:val="TAL"/>
    <w:basedOn w:val="Normal"/>
    <w:pPr>
      <w:keepNext/>
      <w:keepLines/>
      <w:spacing w:after="0"/>
    </w:pPr>
    <w:rPr>
      <w:rFonts w:ascii="Arial" w:hAnsi="Arial"/>
      <w:sz w:val="18"/>
    </w:rPr>
  </w:style>
  <w:style w:type="paragraph" w:customStyle="1" w:styleId="TAH">
    <w:name w:val="TAH"/>
    <w:basedOn w:val="TAC"/>
    <w:link w:val="TAHCar"/>
    <w:qFormat/>
    <w:rPr>
      <w:b/>
    </w:rPr>
  </w:style>
  <w:style w:type="paragraph" w:customStyle="1" w:styleId="TAC">
    <w:name w:val="TAC"/>
    <w:basedOn w:val="TAL"/>
    <w:link w:val="TACChar"/>
    <w:qFormat/>
    <w:pPr>
      <w:jc w:val="center"/>
    </w:pPr>
  </w:style>
  <w:style w:type="paragraph" w:customStyle="1" w:styleId="LD">
    <w:name w:val="LD"/>
    <w:pPr>
      <w:keepNext/>
      <w:keepLines/>
      <w:spacing w:line="180" w:lineRule="exact"/>
    </w:pPr>
    <w:rPr>
      <w:rFonts w:ascii="Courier New" w:hAnsi="Courier New"/>
      <w:noProof/>
      <w:lang w:eastAsia="en-US"/>
    </w:rPr>
  </w:style>
  <w:style w:type="paragraph" w:customStyle="1" w:styleId="EX">
    <w:name w:val="EX"/>
    <w:basedOn w:val="Normal"/>
    <w:rsid w:val="00752198"/>
    <w:pPr>
      <w:keepLines/>
      <w:numPr>
        <w:numId w:val="6"/>
      </w:numPr>
    </w:pPr>
  </w:style>
  <w:style w:type="paragraph" w:customStyle="1" w:styleId="FP">
    <w:name w:val="FP"/>
    <w:basedOn w:val="Normal"/>
    <w:pPr>
      <w:spacing w:after="0"/>
    </w:pPr>
  </w:style>
  <w:style w:type="paragraph" w:customStyle="1" w:styleId="NW">
    <w:name w:val="NW"/>
    <w:basedOn w:val="NO"/>
    <w:pPr>
      <w:spacing w:after="0"/>
    </w:pPr>
  </w:style>
  <w:style w:type="paragraph" w:customStyle="1" w:styleId="EW">
    <w:name w:val="EW"/>
    <w:basedOn w:val="EX"/>
    <w:pPr>
      <w:spacing w:after="0"/>
    </w:pPr>
  </w:style>
  <w:style w:type="paragraph" w:customStyle="1" w:styleId="B1">
    <w:name w:val="B1"/>
    <w:basedOn w:val="Normal"/>
    <w:pPr>
      <w:ind w:left="568" w:hanging="284"/>
    </w:pPr>
  </w:style>
  <w:style w:type="paragraph" w:styleId="TOC6">
    <w:name w:val="toc 6"/>
    <w:basedOn w:val="TOC5"/>
    <w:next w:val="Normal"/>
    <w:semiHidden/>
    <w:pPr>
      <w:ind w:left="1000"/>
    </w:pPr>
  </w:style>
  <w:style w:type="paragraph" w:styleId="TOC7">
    <w:name w:val="toc 7"/>
    <w:basedOn w:val="TOC6"/>
    <w:next w:val="Normal"/>
    <w:semiHidden/>
    <w:pPr>
      <w:ind w:left="1200"/>
    </w:pPr>
  </w:style>
  <w:style w:type="paragraph" w:customStyle="1" w:styleId="EditorsNote">
    <w:name w:val="Editor's Note"/>
    <w:basedOn w:val="NO"/>
    <w:rPr>
      <w:color w:val="FF0000"/>
    </w:rPr>
  </w:style>
  <w:style w:type="paragraph" w:customStyle="1" w:styleId="TH">
    <w:name w:val="TH"/>
    <w:basedOn w:val="Normal"/>
    <w:link w:val="THChar"/>
    <w:qFormat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ZA">
    <w:name w:val="ZA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eastAsia="en-US"/>
    </w:rPr>
  </w:style>
  <w:style w:type="paragraph" w:customStyle="1" w:styleId="ZB">
    <w:name w:val="ZB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eastAsia="en-US"/>
    </w:rPr>
  </w:style>
  <w:style w:type="paragraph" w:customStyle="1" w:styleId="ZT">
    <w:name w:val="ZT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eastAsia="en-US"/>
    </w:rPr>
  </w:style>
  <w:style w:type="paragraph" w:customStyle="1" w:styleId="ZU">
    <w:name w:val="ZU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eastAsia="en-US"/>
    </w:rPr>
  </w:style>
  <w:style w:type="paragraph" w:customStyle="1" w:styleId="TAN">
    <w:name w:val="TAN"/>
    <w:basedOn w:val="TAL"/>
    <w:pPr>
      <w:ind w:left="851" w:hanging="851"/>
    </w:pPr>
  </w:style>
  <w:style w:type="paragraph" w:customStyle="1" w:styleId="ZH">
    <w:name w:val="ZH"/>
    <w:pPr>
      <w:framePr w:wrap="notBeside" w:vAnchor="page" w:hAnchor="margin" w:xAlign="center" w:y="6805"/>
      <w:widowControl w:val="0"/>
    </w:pPr>
    <w:rPr>
      <w:rFonts w:ascii="Arial" w:hAnsi="Arial"/>
      <w:noProof/>
      <w:lang w:eastAsia="en-US"/>
    </w:rPr>
  </w:style>
  <w:style w:type="paragraph" w:customStyle="1" w:styleId="TF">
    <w:name w:val="TF"/>
    <w:basedOn w:val="TH"/>
    <w:pPr>
      <w:keepNext w:val="0"/>
      <w:spacing w:before="0" w:after="240"/>
    </w:pPr>
  </w:style>
  <w:style w:type="paragraph" w:customStyle="1" w:styleId="ZG">
    <w:name w:val="ZG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eastAsia="en-US"/>
    </w:rPr>
  </w:style>
  <w:style w:type="paragraph" w:customStyle="1" w:styleId="B2">
    <w:name w:val="B2"/>
    <w:basedOn w:val="Normal"/>
    <w:pPr>
      <w:ind w:left="851" w:hanging="284"/>
    </w:pPr>
  </w:style>
  <w:style w:type="paragraph" w:customStyle="1" w:styleId="B3">
    <w:name w:val="B3"/>
    <w:basedOn w:val="Normal"/>
    <w:pPr>
      <w:ind w:left="1135" w:hanging="284"/>
    </w:pPr>
  </w:style>
  <w:style w:type="paragraph" w:customStyle="1" w:styleId="B4">
    <w:name w:val="B4"/>
    <w:basedOn w:val="Normal"/>
    <w:pPr>
      <w:ind w:left="1418" w:hanging="284"/>
    </w:pPr>
  </w:style>
  <w:style w:type="paragraph" w:customStyle="1" w:styleId="B5">
    <w:name w:val="B5"/>
    <w:basedOn w:val="Normal"/>
    <w:pPr>
      <w:ind w:left="1702" w:hanging="284"/>
    </w:pPr>
  </w:style>
  <w:style w:type="paragraph" w:customStyle="1" w:styleId="ZTD">
    <w:name w:val="ZTD"/>
    <w:basedOn w:val="ZB"/>
    <w:pPr>
      <w:framePr w:hRule="auto" w:wrap="notBeside" w:y="852"/>
    </w:pPr>
    <w:rPr>
      <w:i w:val="0"/>
      <w:sz w:val="40"/>
    </w:rPr>
  </w:style>
  <w:style w:type="paragraph" w:customStyle="1" w:styleId="ZV">
    <w:name w:val="ZV"/>
    <w:basedOn w:val="ZU"/>
    <w:pPr>
      <w:framePr w:wrap="notBeside" w:y="16161"/>
    </w:pPr>
  </w:style>
  <w:style w:type="paragraph" w:customStyle="1" w:styleId="TAJ">
    <w:name w:val="TAJ"/>
    <w:basedOn w:val="TH"/>
  </w:style>
  <w:style w:type="paragraph" w:customStyle="1" w:styleId="Guidance">
    <w:name w:val="Guidance"/>
    <w:basedOn w:val="Normal"/>
    <w:rPr>
      <w:i/>
      <w:color w:val="0000FF"/>
    </w:rPr>
  </w:style>
  <w:style w:type="paragraph" w:styleId="BalloonText">
    <w:name w:val="Balloon Text"/>
    <w:basedOn w:val="Normal"/>
    <w:link w:val="BalloonTextChar"/>
    <w:rsid w:val="004F0988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link w:val="BalloonText"/>
    <w:rsid w:val="004F0988"/>
    <w:rPr>
      <w:rFonts w:ascii="Segoe UI" w:hAnsi="Segoe UI" w:cs="Segoe UI"/>
      <w:sz w:val="18"/>
      <w:szCs w:val="18"/>
      <w:lang w:eastAsia="en-US"/>
    </w:rPr>
  </w:style>
  <w:style w:type="table" w:styleId="TableGrid">
    <w:name w:val="Table Grid"/>
    <w:aliases w:val="TableGrid,SGS Table Basic 1,网格型"/>
    <w:basedOn w:val="TableNormal"/>
    <w:qFormat/>
    <w:rsid w:val="004F098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rsid w:val="0074026F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74026F"/>
    <w:rPr>
      <w:color w:val="605E5C"/>
      <w:shd w:val="clear" w:color="auto" w:fill="E1DFDD"/>
    </w:rPr>
  </w:style>
  <w:style w:type="paragraph" w:customStyle="1" w:styleId="CH">
    <w:name w:val="CH"/>
    <w:basedOn w:val="Normal"/>
    <w:rsid w:val="00D46431"/>
    <w:pPr>
      <w:tabs>
        <w:tab w:val="left" w:pos="2268"/>
        <w:tab w:val="right" w:pos="7920"/>
        <w:tab w:val="right" w:pos="9639"/>
      </w:tabs>
      <w:spacing w:after="0"/>
    </w:pPr>
    <w:rPr>
      <w:rFonts w:ascii="Arial" w:hAnsi="Arial" w:cs="Arial"/>
      <w:b/>
      <w:sz w:val="24"/>
    </w:rPr>
  </w:style>
  <w:style w:type="paragraph" w:styleId="Revision">
    <w:name w:val="Revision"/>
    <w:hidden/>
    <w:uiPriority w:val="99"/>
    <w:semiHidden/>
    <w:rsid w:val="00820B25"/>
    <w:rPr>
      <w:lang w:eastAsia="en-US"/>
    </w:rPr>
  </w:style>
  <w:style w:type="paragraph" w:customStyle="1" w:styleId="Observation">
    <w:name w:val="Observation"/>
    <w:basedOn w:val="Normal"/>
    <w:rsid w:val="00E72324"/>
    <w:pPr>
      <w:tabs>
        <w:tab w:val="left" w:pos="1701"/>
      </w:tabs>
      <w:ind w:left="1701" w:hanging="1701"/>
    </w:pPr>
    <w:rPr>
      <w:i/>
    </w:rPr>
  </w:style>
  <w:style w:type="paragraph" w:customStyle="1" w:styleId="Proposal">
    <w:name w:val="Proposal"/>
    <w:basedOn w:val="Normal"/>
    <w:rsid w:val="003E7753"/>
    <w:pPr>
      <w:tabs>
        <w:tab w:val="left" w:pos="1701"/>
      </w:tabs>
      <w:ind w:left="1701" w:hanging="1701"/>
    </w:pPr>
    <w:rPr>
      <w:b/>
    </w:rPr>
  </w:style>
  <w:style w:type="character" w:customStyle="1" w:styleId="THChar">
    <w:name w:val="TH Char"/>
    <w:link w:val="TH"/>
    <w:qFormat/>
    <w:rsid w:val="00017B83"/>
    <w:rPr>
      <w:rFonts w:ascii="Arial" w:hAnsi="Arial"/>
      <w:b/>
      <w:lang w:eastAsia="en-US"/>
    </w:rPr>
  </w:style>
  <w:style w:type="character" w:customStyle="1" w:styleId="TACChar">
    <w:name w:val="TAC Char"/>
    <w:link w:val="TAC"/>
    <w:qFormat/>
    <w:rsid w:val="00017B83"/>
    <w:rPr>
      <w:rFonts w:ascii="Arial" w:hAnsi="Arial"/>
      <w:sz w:val="18"/>
      <w:lang w:eastAsia="en-US"/>
    </w:rPr>
  </w:style>
  <w:style w:type="character" w:customStyle="1" w:styleId="TAHCar">
    <w:name w:val="TAH Car"/>
    <w:link w:val="TAH"/>
    <w:uiPriority w:val="99"/>
    <w:qFormat/>
    <w:rsid w:val="00017B83"/>
    <w:rPr>
      <w:rFonts w:ascii="Arial" w:hAnsi="Arial"/>
      <w:b/>
      <w:sz w:val="18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footer" Target="footer1.xml"/><Relationship Id="rId3" Type="http://schemas.openxmlformats.org/officeDocument/2006/relationships/numbering" Target="numbering.xml"/><Relationship Id="rId21" Type="http://schemas.openxmlformats.org/officeDocument/2006/relationships/theme" Target="theme/theme1.xml"/><Relationship Id="rId7" Type="http://schemas.openxmlformats.org/officeDocument/2006/relationships/footnotes" Target="footnotes.xml"/><Relationship Id="rId12" Type="http://schemas.openxmlformats.org/officeDocument/2006/relationships/image" Target="media/image4.svg"/><Relationship Id="rId17" Type="http://schemas.openxmlformats.org/officeDocument/2006/relationships/header" Target="header1.xml"/><Relationship Id="rId2" Type="http://schemas.openxmlformats.org/officeDocument/2006/relationships/customXml" Target="../customXml/item1.xml"/><Relationship Id="rId16" Type="http://schemas.openxmlformats.org/officeDocument/2006/relationships/image" Target="media/image8.svg"/><Relationship Id="rId20" Type="http://schemas.openxmlformats.org/officeDocument/2006/relationships/fontTable" Target="fontTable.xml"/><Relationship Id="rId1" Type="http://schemas.microsoft.com/office/2006/relationships/keyMapCustomizations" Target="customizations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10" Type="http://schemas.openxmlformats.org/officeDocument/2006/relationships/image" Target="media/image2.svg"/><Relationship Id="rId19" Type="http://schemas.openxmlformats.org/officeDocument/2006/relationships/footer" Target="footer2.xml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image" Target="media/image6.sv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Meredith\AppData\Roaming\Microsoft\Templates\3gpp_70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F049962-C671-A743-A102-EF0DB71B9BD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C:\Users\Meredith\AppData\Roaming\Microsoft\Templates\3gpp_70.dot</Template>
  <TotalTime>69</TotalTime>
  <Pages>6</Pages>
  <Words>976</Words>
  <Characters>5120</Characters>
  <Application>Microsoft Office Word</Application>
  <DocSecurity>0</DocSecurity>
  <Lines>42</Lines>
  <Paragraphs>12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3GPP contribution</vt:lpstr>
    </vt:vector>
  </TitlesOfParts>
  <Manager/>
  <Company>Apple Inc</Company>
  <LinksUpToDate>false</LinksUpToDate>
  <CharactersWithSpaces>6084</CharactersWithSpaces>
  <SharedDoc>false</SharedDoc>
  <HyperlinkBase/>
  <HLinks>
    <vt:vector size="6" baseType="variant">
      <vt:variant>
        <vt:i4>4128872</vt:i4>
      </vt:variant>
      <vt:variant>
        <vt:i4>69</vt:i4>
      </vt:variant>
      <vt:variant>
        <vt:i4>0</vt:i4>
      </vt:variant>
      <vt:variant>
        <vt:i4>5</vt:i4>
      </vt:variant>
      <vt:variant>
        <vt:lpwstr>ftp://ftp.3gpp.org/Information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3GPP contribution</dc:title>
  <dc:subject/>
  <dc:creator>Alexander Sayenko</dc:creator>
  <cp:keywords/>
  <dc:description/>
  <cp:lastModifiedBy>Alexander Sayenko</cp:lastModifiedBy>
  <cp:revision>57</cp:revision>
  <cp:lastPrinted>2019-02-25T13:05:00Z</cp:lastPrinted>
  <dcterms:created xsi:type="dcterms:W3CDTF">2025-11-06T17:52:00Z</dcterms:created>
  <dcterms:modified xsi:type="dcterms:W3CDTF">2025-11-07T21:07:00Z</dcterms:modified>
  <cp:category/>
</cp:coreProperties>
</file>